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DB1DA" w14:textId="77777777" w:rsidR="005A586E" w:rsidRDefault="005A586E">
      <w:pPr>
        <w:pStyle w:val="Title"/>
      </w:pPr>
    </w:p>
    <w:p w14:paraId="0C49D4F4" w14:textId="2541F2F3" w:rsidR="00626A4E" w:rsidRDefault="005A586E">
      <w:pPr>
        <w:pStyle w:val="Title"/>
      </w:pPr>
      <w:r>
        <w:rPr>
          <w:noProof/>
        </w:rPr>
        <w:drawing>
          <wp:inline distT="0" distB="0" distL="0" distR="0" wp14:anchorId="0CF24501" wp14:editId="454DF6AD">
            <wp:extent cx="1667510" cy="9144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667510" cy="914400"/>
                    </a:xfrm>
                    <a:prstGeom prst="rect">
                      <a:avLst/>
                    </a:prstGeom>
                  </pic:spPr>
                </pic:pic>
              </a:graphicData>
            </a:graphic>
          </wp:inline>
        </w:drawing>
      </w:r>
      <w:r w:rsidRPr="005A586E">
        <w:t xml:space="preserve"> </w:t>
      </w:r>
      <w:r>
        <w:t xml:space="preserve">NCEINGÉNIEURS </w:t>
      </w:r>
    </w:p>
    <w:p w14:paraId="077B5ED3" w14:textId="77777777" w:rsidR="00626A4E" w:rsidRDefault="005D03C2">
      <w:pPr>
        <w:pStyle w:val="Heading1"/>
      </w:pPr>
      <w:r>
        <w:t>PRODUCT SHEET</w:t>
      </w:r>
    </w:p>
    <w:p w14:paraId="22F17163" w14:textId="77777777" w:rsidR="00626A4E" w:rsidRDefault="005D03C2">
      <w:pPr>
        <w:pStyle w:val="Heading2"/>
      </w:pPr>
      <w:r>
        <w:t>Distribution Electrification Cost &amp; Design Estimator (ABCDE Model)</w:t>
      </w:r>
    </w:p>
    <w:p w14:paraId="2397A74D" w14:textId="77777777" w:rsidR="00626A4E" w:rsidRDefault="005D03C2">
      <w:pPr>
        <w:pStyle w:val="Heading2"/>
      </w:pPr>
      <w:r>
        <w:t>1. PRODUCT POSITIONING</w:t>
      </w:r>
    </w:p>
    <w:p w14:paraId="0BFA01A1" w14:textId="77777777" w:rsidR="00626A4E" w:rsidRDefault="005D03C2">
      <w:r>
        <w:rPr>
          <w:sz w:val="24"/>
        </w:rPr>
        <w:t>The ABCDE Level Estimator is a structured electrification planning model developed to translate high-level access targets into clear, quantified infrastructure and investment requirements. It enables decision-makers to move seamlessly from conceptual planning assumptions to credible cost estimates, providing a consistent and transparent basis for technical, financial, and policy discussions. Unlike traditional planning approaches that rely either on overly simplified assumptions or detailed engineering proc</w:t>
      </w:r>
      <w:r>
        <w:rPr>
          <w:sz w:val="24"/>
        </w:rPr>
        <w:t>esses that are slow to deploy, this model occupies the critical middle ground where speed, clarity, and technical realism converge.</w:t>
      </w:r>
    </w:p>
    <w:p w14:paraId="111D2A00" w14:textId="77777777" w:rsidR="00626A4E" w:rsidRDefault="005D03C2">
      <w:pPr>
        <w:pStyle w:val="Heading2"/>
      </w:pPr>
      <w:r>
        <w:t>2. THE CHALLENGE IN ELECTRIFICATION PLANNING</w:t>
      </w:r>
    </w:p>
    <w:p w14:paraId="26E0F16E" w14:textId="77777777" w:rsidR="00626A4E" w:rsidRDefault="005D03C2">
      <w:r>
        <w:rPr>
          <w:sz w:val="24"/>
        </w:rPr>
        <w:t>Electrification programs are frequently constrained by a disconnect between ambition and affordability. Technical designs are often developed without sufficient visibility of their financial implications, resulting in systems that are over-engineered relative to the economic context in which they are deployed. At the same time, policy targets are frequently defined without a clear understanding of the infrastructure required to deliver them. This misalignment leads to escalating costs, delayed implementatio</w:t>
      </w:r>
      <w:r>
        <w:rPr>
          <w:sz w:val="24"/>
        </w:rPr>
        <w:t>n, and, in many cases, the inability to achieve stated access objectives within available funding envelopes.</w:t>
      </w:r>
    </w:p>
    <w:p w14:paraId="1E9AE1FA" w14:textId="77777777" w:rsidR="00626A4E" w:rsidRDefault="005D03C2">
      <w:pPr>
        <w:pStyle w:val="Heading2"/>
      </w:pPr>
      <w:r>
        <w:t>3. THE MODEL RESPONSE</w:t>
      </w:r>
    </w:p>
    <w:p w14:paraId="36DC0591" w14:textId="77777777" w:rsidR="00626A4E" w:rsidRDefault="005D03C2">
      <w:pPr>
        <w:rPr>
          <w:sz w:val="24"/>
        </w:rPr>
      </w:pPr>
      <w:r>
        <w:rPr>
          <w:sz w:val="24"/>
        </w:rPr>
        <w:t>The ABCDE Estimator provides a coherent analytical framework that links demand assumptions, network design parameters, and unit cost structures into a single integrated model. It enables users to quantify the full distribution system required for a given number of connections and to evaluate the financial consequences of different design choices in real time. The model is rigorous yet accessible, ensuring outputs are technically credible while remaining immediately usable in planning, budgeting, and stakeho</w:t>
      </w:r>
      <w:r>
        <w:rPr>
          <w:sz w:val="24"/>
        </w:rPr>
        <w:t>lder engagement contexts.</w:t>
      </w:r>
    </w:p>
    <w:tbl>
      <w:tblPr>
        <w:tblStyle w:val="GridTable5Dark-Accent5"/>
        <w:tblW w:w="8156" w:type="dxa"/>
        <w:jc w:val="center"/>
        <w:tblLook w:val="04A0" w:firstRow="1" w:lastRow="0" w:firstColumn="1" w:lastColumn="0" w:noHBand="0" w:noVBand="1"/>
      </w:tblPr>
      <w:tblGrid>
        <w:gridCol w:w="4610"/>
        <w:gridCol w:w="1214"/>
        <w:gridCol w:w="1192"/>
        <w:gridCol w:w="1140"/>
      </w:tblGrid>
      <w:tr w:rsidR="005830F8" w:rsidRPr="005830F8" w14:paraId="7D3B22DD" w14:textId="77777777" w:rsidTr="005830F8">
        <w:trPr>
          <w:cnfStyle w:val="100000000000" w:firstRow="1" w:lastRow="0" w:firstColumn="0" w:lastColumn="0" w:oddVBand="0" w:evenVBand="0" w:oddHBand="0" w:evenHBand="0" w:firstRowFirstColumn="0" w:firstRowLastColumn="0" w:lastRowFirstColumn="0" w:lastRowLastColumn="0"/>
          <w:trHeight w:val="1020"/>
          <w:jc w:val="center"/>
        </w:trPr>
        <w:tc>
          <w:tcPr>
            <w:cnfStyle w:val="001000000000" w:firstRow="0" w:lastRow="0" w:firstColumn="1" w:lastColumn="0" w:oddVBand="0" w:evenVBand="0" w:oddHBand="0" w:evenHBand="0" w:firstRowFirstColumn="0" w:firstRowLastColumn="0" w:lastRowFirstColumn="0" w:lastRowLastColumn="0"/>
            <w:tcW w:w="4610" w:type="dxa"/>
            <w:hideMark/>
          </w:tcPr>
          <w:p w14:paraId="7D3F8B03" w14:textId="77777777" w:rsidR="005830F8" w:rsidRPr="005830F8" w:rsidRDefault="005830F8" w:rsidP="005830F8">
            <w:pPr>
              <w:rPr>
                <w:rFonts w:ascii="Calibri" w:eastAsia="Times New Roman" w:hAnsi="Calibri" w:cs="Calibri"/>
                <w:color w:val="000000"/>
                <w:lang w:val="en-GB" w:eastAsia="en-GB"/>
              </w:rPr>
            </w:pPr>
            <w:r w:rsidRPr="005830F8">
              <w:rPr>
                <w:rFonts w:ascii="Calibri" w:eastAsia="Times New Roman" w:hAnsi="Calibri" w:cs="Calibri"/>
                <w:color w:val="000000"/>
                <w:lang w:val="en-GB" w:eastAsia="en-GB"/>
              </w:rPr>
              <w:t xml:space="preserve">CONNECTION TYPE </w:t>
            </w:r>
          </w:p>
        </w:tc>
        <w:tc>
          <w:tcPr>
            <w:tcW w:w="1214" w:type="dxa"/>
            <w:hideMark/>
          </w:tcPr>
          <w:p w14:paraId="09C4F837" w14:textId="77777777" w:rsidR="005830F8" w:rsidRPr="005830F8" w:rsidRDefault="005830F8" w:rsidP="005830F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en-GB"/>
              </w:rPr>
            </w:pPr>
            <w:proofErr w:type="gramStart"/>
            <w:r w:rsidRPr="005830F8">
              <w:rPr>
                <w:rFonts w:ascii="Calibri" w:eastAsia="Times New Roman" w:hAnsi="Calibri" w:cs="Calibri"/>
                <w:color w:val="000000"/>
                <w:lang w:val="en-GB" w:eastAsia="en-GB"/>
              </w:rPr>
              <w:t>Percent  of</w:t>
            </w:r>
            <w:proofErr w:type="gramEnd"/>
            <w:r w:rsidRPr="005830F8">
              <w:rPr>
                <w:rFonts w:ascii="Calibri" w:eastAsia="Times New Roman" w:hAnsi="Calibri" w:cs="Calibri"/>
                <w:color w:val="000000"/>
                <w:lang w:val="en-GB" w:eastAsia="en-GB"/>
              </w:rPr>
              <w:t xml:space="preserve"> Total</w:t>
            </w:r>
          </w:p>
        </w:tc>
        <w:tc>
          <w:tcPr>
            <w:tcW w:w="1192" w:type="dxa"/>
            <w:hideMark/>
          </w:tcPr>
          <w:p w14:paraId="64730ED9" w14:textId="77777777" w:rsidR="005830F8" w:rsidRPr="005830F8" w:rsidRDefault="005830F8" w:rsidP="005830F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en-GB"/>
              </w:rPr>
            </w:pPr>
            <w:r w:rsidRPr="005830F8">
              <w:rPr>
                <w:rFonts w:ascii="Calibri" w:eastAsia="Times New Roman" w:hAnsi="Calibri" w:cs="Calibri"/>
                <w:color w:val="000000"/>
                <w:lang w:val="en-GB" w:eastAsia="en-GB"/>
              </w:rPr>
              <w:t>Number</w:t>
            </w:r>
          </w:p>
        </w:tc>
        <w:tc>
          <w:tcPr>
            <w:tcW w:w="1140" w:type="dxa"/>
            <w:hideMark/>
          </w:tcPr>
          <w:p w14:paraId="2D0D95DE" w14:textId="77777777" w:rsidR="005830F8" w:rsidRPr="005830F8" w:rsidRDefault="005830F8" w:rsidP="005830F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en-GB"/>
              </w:rPr>
            </w:pPr>
            <w:r w:rsidRPr="005830F8">
              <w:rPr>
                <w:rFonts w:ascii="Calibri" w:eastAsia="Times New Roman" w:hAnsi="Calibri" w:cs="Calibri"/>
                <w:color w:val="000000"/>
                <w:lang w:val="en-GB" w:eastAsia="en-GB"/>
              </w:rPr>
              <w:t>Acc. Cost per conn</w:t>
            </w:r>
          </w:p>
        </w:tc>
      </w:tr>
      <w:tr w:rsidR="005830F8" w:rsidRPr="005830F8" w14:paraId="2B33B178" w14:textId="77777777" w:rsidTr="005830F8">
        <w:trPr>
          <w:cnfStyle w:val="000000100000" w:firstRow="0" w:lastRow="0" w:firstColumn="0" w:lastColumn="0" w:oddVBand="0" w:evenVBand="0" w:oddHBand="1" w:evenHBand="0" w:firstRowFirstColumn="0" w:firstRowLastColumn="0" w:lastRowFirstColumn="0" w:lastRowLastColumn="0"/>
          <w:trHeight w:val="569"/>
          <w:jc w:val="center"/>
        </w:trPr>
        <w:tc>
          <w:tcPr>
            <w:cnfStyle w:val="001000000000" w:firstRow="0" w:lastRow="0" w:firstColumn="1" w:lastColumn="0" w:oddVBand="0" w:evenVBand="0" w:oddHBand="0" w:evenHBand="0" w:firstRowFirstColumn="0" w:firstRowLastColumn="0" w:lastRowFirstColumn="0" w:lastRowLastColumn="0"/>
            <w:tcW w:w="4610" w:type="dxa"/>
            <w:noWrap/>
            <w:hideMark/>
          </w:tcPr>
          <w:p w14:paraId="60B5617C" w14:textId="77777777" w:rsidR="005830F8" w:rsidRPr="005830F8" w:rsidRDefault="005830F8" w:rsidP="005830F8">
            <w:pPr>
              <w:rPr>
                <w:rFonts w:ascii="Calibri" w:eastAsia="Times New Roman" w:hAnsi="Calibri" w:cs="Calibri"/>
                <w:color w:val="000000"/>
                <w:lang w:val="en-GB" w:eastAsia="en-GB"/>
              </w:rPr>
            </w:pPr>
            <w:r w:rsidRPr="005830F8">
              <w:rPr>
                <w:rFonts w:ascii="Calibri" w:eastAsia="Times New Roman" w:hAnsi="Calibri" w:cs="Calibri"/>
                <w:color w:val="000000"/>
                <w:lang w:val="en-GB" w:eastAsia="en-GB"/>
              </w:rPr>
              <w:t xml:space="preserve">A - </w:t>
            </w:r>
            <w:proofErr w:type="spellStart"/>
            <w:r w:rsidRPr="005830F8">
              <w:rPr>
                <w:rFonts w:ascii="Calibri" w:eastAsia="Times New Roman" w:hAnsi="Calibri" w:cs="Calibri"/>
                <w:color w:val="000000"/>
                <w:lang w:val="en-GB" w:eastAsia="en-GB"/>
              </w:rPr>
              <w:t>Sercive</w:t>
            </w:r>
            <w:proofErr w:type="spellEnd"/>
            <w:r w:rsidRPr="005830F8">
              <w:rPr>
                <w:rFonts w:ascii="Calibri" w:eastAsia="Times New Roman" w:hAnsi="Calibri" w:cs="Calibri"/>
                <w:color w:val="000000"/>
                <w:lang w:val="en-GB" w:eastAsia="en-GB"/>
              </w:rPr>
              <w:t xml:space="preserve"> Connection plus Ready Board</w:t>
            </w:r>
          </w:p>
        </w:tc>
        <w:tc>
          <w:tcPr>
            <w:tcW w:w="1214" w:type="dxa"/>
            <w:noWrap/>
            <w:hideMark/>
          </w:tcPr>
          <w:p w14:paraId="2969ACC9" w14:textId="77777777" w:rsidR="005830F8" w:rsidRPr="005830F8" w:rsidRDefault="005830F8" w:rsidP="005830F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GB" w:eastAsia="en-GB"/>
              </w:rPr>
            </w:pPr>
            <w:r w:rsidRPr="005830F8">
              <w:rPr>
                <w:rFonts w:ascii="Calibri" w:eastAsia="Times New Roman" w:hAnsi="Calibri" w:cs="Calibri"/>
                <w:b/>
                <w:bCs/>
                <w:color w:val="000000"/>
                <w:lang w:val="en-GB" w:eastAsia="en-GB"/>
              </w:rPr>
              <w:t>20%</w:t>
            </w:r>
          </w:p>
        </w:tc>
        <w:tc>
          <w:tcPr>
            <w:tcW w:w="1192" w:type="dxa"/>
            <w:hideMark/>
          </w:tcPr>
          <w:p w14:paraId="56167395" w14:textId="77777777" w:rsidR="005830F8" w:rsidRPr="005830F8" w:rsidRDefault="005830F8" w:rsidP="005830F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GB" w:eastAsia="en-GB"/>
              </w:rPr>
            </w:pPr>
            <w:r w:rsidRPr="005830F8">
              <w:rPr>
                <w:rFonts w:ascii="Calibri" w:eastAsia="Times New Roman" w:hAnsi="Calibri" w:cs="Calibri"/>
                <w:b/>
                <w:bCs/>
                <w:color w:val="000000"/>
                <w:lang w:val="en-GB" w:eastAsia="en-GB"/>
              </w:rPr>
              <w:t>100000</w:t>
            </w:r>
          </w:p>
        </w:tc>
        <w:tc>
          <w:tcPr>
            <w:tcW w:w="1140" w:type="dxa"/>
            <w:hideMark/>
          </w:tcPr>
          <w:p w14:paraId="365D0FCB" w14:textId="77777777" w:rsidR="005830F8" w:rsidRPr="005830F8" w:rsidRDefault="005830F8" w:rsidP="005830F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GB" w:eastAsia="en-GB"/>
              </w:rPr>
            </w:pPr>
            <w:r w:rsidRPr="005830F8">
              <w:rPr>
                <w:rFonts w:ascii="Calibri" w:eastAsia="Times New Roman" w:hAnsi="Calibri" w:cs="Calibri"/>
                <w:b/>
                <w:bCs/>
                <w:color w:val="000000"/>
                <w:lang w:val="en-GB" w:eastAsia="en-GB"/>
              </w:rPr>
              <w:t>$165</w:t>
            </w:r>
          </w:p>
        </w:tc>
      </w:tr>
      <w:tr w:rsidR="005830F8" w:rsidRPr="005830F8" w14:paraId="6259FF8A" w14:textId="77777777" w:rsidTr="005830F8">
        <w:trPr>
          <w:trHeight w:val="467"/>
          <w:jc w:val="center"/>
        </w:trPr>
        <w:tc>
          <w:tcPr>
            <w:cnfStyle w:val="001000000000" w:firstRow="0" w:lastRow="0" w:firstColumn="1" w:lastColumn="0" w:oddVBand="0" w:evenVBand="0" w:oddHBand="0" w:evenHBand="0" w:firstRowFirstColumn="0" w:firstRowLastColumn="0" w:lastRowFirstColumn="0" w:lastRowLastColumn="0"/>
            <w:tcW w:w="4610" w:type="dxa"/>
            <w:noWrap/>
            <w:hideMark/>
          </w:tcPr>
          <w:p w14:paraId="792C1072" w14:textId="77777777" w:rsidR="005830F8" w:rsidRPr="005830F8" w:rsidRDefault="005830F8" w:rsidP="005830F8">
            <w:pPr>
              <w:rPr>
                <w:rFonts w:ascii="Calibri" w:eastAsia="Times New Roman" w:hAnsi="Calibri" w:cs="Calibri"/>
                <w:color w:val="000000"/>
                <w:lang w:val="en-GB" w:eastAsia="en-GB"/>
              </w:rPr>
            </w:pPr>
            <w:r w:rsidRPr="005830F8">
              <w:rPr>
                <w:rFonts w:ascii="Calibri" w:eastAsia="Times New Roman" w:hAnsi="Calibri" w:cs="Calibri"/>
                <w:color w:val="000000"/>
                <w:lang w:val="en-GB" w:eastAsia="en-GB"/>
              </w:rPr>
              <w:t xml:space="preserve">B- A plus Lite Pole </w:t>
            </w:r>
          </w:p>
        </w:tc>
        <w:tc>
          <w:tcPr>
            <w:tcW w:w="1214" w:type="dxa"/>
            <w:noWrap/>
            <w:hideMark/>
          </w:tcPr>
          <w:p w14:paraId="2A7FED09" w14:textId="77777777" w:rsidR="005830F8" w:rsidRPr="005830F8" w:rsidRDefault="005830F8" w:rsidP="005830F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GB" w:eastAsia="en-GB"/>
              </w:rPr>
            </w:pPr>
            <w:r w:rsidRPr="005830F8">
              <w:rPr>
                <w:rFonts w:ascii="Calibri" w:eastAsia="Times New Roman" w:hAnsi="Calibri" w:cs="Calibri"/>
                <w:b/>
                <w:bCs/>
                <w:color w:val="000000"/>
                <w:lang w:val="en-GB" w:eastAsia="en-GB"/>
              </w:rPr>
              <w:t>10%</w:t>
            </w:r>
          </w:p>
        </w:tc>
        <w:tc>
          <w:tcPr>
            <w:tcW w:w="1192" w:type="dxa"/>
            <w:hideMark/>
          </w:tcPr>
          <w:p w14:paraId="08B5436C" w14:textId="77777777" w:rsidR="005830F8" w:rsidRPr="005830F8" w:rsidRDefault="005830F8" w:rsidP="005830F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GB" w:eastAsia="en-GB"/>
              </w:rPr>
            </w:pPr>
            <w:r w:rsidRPr="005830F8">
              <w:rPr>
                <w:rFonts w:ascii="Calibri" w:eastAsia="Times New Roman" w:hAnsi="Calibri" w:cs="Calibri"/>
                <w:b/>
                <w:bCs/>
                <w:color w:val="000000"/>
                <w:lang w:val="en-GB" w:eastAsia="en-GB"/>
              </w:rPr>
              <w:t>50000</w:t>
            </w:r>
          </w:p>
        </w:tc>
        <w:tc>
          <w:tcPr>
            <w:tcW w:w="1140" w:type="dxa"/>
            <w:hideMark/>
          </w:tcPr>
          <w:p w14:paraId="2CE82ED9" w14:textId="77777777" w:rsidR="005830F8" w:rsidRPr="005830F8" w:rsidRDefault="005830F8" w:rsidP="005830F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GB" w:eastAsia="en-GB"/>
              </w:rPr>
            </w:pPr>
            <w:r w:rsidRPr="005830F8">
              <w:rPr>
                <w:rFonts w:ascii="Calibri" w:eastAsia="Times New Roman" w:hAnsi="Calibri" w:cs="Calibri"/>
                <w:b/>
                <w:bCs/>
                <w:color w:val="000000"/>
                <w:lang w:val="en-GB" w:eastAsia="en-GB"/>
              </w:rPr>
              <w:t>$195</w:t>
            </w:r>
          </w:p>
        </w:tc>
      </w:tr>
      <w:tr w:rsidR="005830F8" w:rsidRPr="005830F8" w14:paraId="0A31B4A0" w14:textId="77777777" w:rsidTr="005830F8">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4610" w:type="dxa"/>
            <w:noWrap/>
            <w:hideMark/>
          </w:tcPr>
          <w:p w14:paraId="31AD40A1" w14:textId="77777777" w:rsidR="005830F8" w:rsidRPr="005830F8" w:rsidRDefault="005830F8" w:rsidP="005830F8">
            <w:pPr>
              <w:rPr>
                <w:rFonts w:ascii="Calibri" w:eastAsia="Times New Roman" w:hAnsi="Calibri" w:cs="Calibri"/>
                <w:color w:val="000000"/>
                <w:lang w:val="en-GB" w:eastAsia="en-GB"/>
              </w:rPr>
            </w:pPr>
            <w:r w:rsidRPr="005830F8">
              <w:rPr>
                <w:rFonts w:ascii="Calibri" w:eastAsia="Times New Roman" w:hAnsi="Calibri" w:cs="Calibri"/>
                <w:color w:val="000000"/>
                <w:lang w:val="en-GB" w:eastAsia="en-GB"/>
              </w:rPr>
              <w:t xml:space="preserve">C- B-plus LV Line </w:t>
            </w:r>
          </w:p>
        </w:tc>
        <w:tc>
          <w:tcPr>
            <w:tcW w:w="1214" w:type="dxa"/>
            <w:noWrap/>
            <w:hideMark/>
          </w:tcPr>
          <w:p w14:paraId="5E951EC1" w14:textId="77777777" w:rsidR="005830F8" w:rsidRPr="005830F8" w:rsidRDefault="005830F8" w:rsidP="005830F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GB" w:eastAsia="en-GB"/>
              </w:rPr>
            </w:pPr>
            <w:r w:rsidRPr="005830F8">
              <w:rPr>
                <w:rFonts w:ascii="Calibri" w:eastAsia="Times New Roman" w:hAnsi="Calibri" w:cs="Calibri"/>
                <w:b/>
                <w:bCs/>
                <w:color w:val="000000"/>
                <w:lang w:val="en-GB" w:eastAsia="en-GB"/>
              </w:rPr>
              <w:t>10%</w:t>
            </w:r>
          </w:p>
        </w:tc>
        <w:tc>
          <w:tcPr>
            <w:tcW w:w="1192" w:type="dxa"/>
            <w:hideMark/>
          </w:tcPr>
          <w:p w14:paraId="19C9A9C8" w14:textId="77777777" w:rsidR="005830F8" w:rsidRPr="005830F8" w:rsidRDefault="005830F8" w:rsidP="005830F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GB" w:eastAsia="en-GB"/>
              </w:rPr>
            </w:pPr>
            <w:r w:rsidRPr="005830F8">
              <w:rPr>
                <w:rFonts w:ascii="Calibri" w:eastAsia="Times New Roman" w:hAnsi="Calibri" w:cs="Calibri"/>
                <w:b/>
                <w:bCs/>
                <w:color w:val="000000"/>
                <w:lang w:val="en-GB" w:eastAsia="en-GB"/>
              </w:rPr>
              <w:t>50000</w:t>
            </w:r>
          </w:p>
        </w:tc>
        <w:tc>
          <w:tcPr>
            <w:tcW w:w="1140" w:type="dxa"/>
            <w:hideMark/>
          </w:tcPr>
          <w:p w14:paraId="68832510" w14:textId="77777777" w:rsidR="005830F8" w:rsidRPr="005830F8" w:rsidRDefault="005830F8" w:rsidP="005830F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GB" w:eastAsia="en-GB"/>
              </w:rPr>
            </w:pPr>
            <w:r w:rsidRPr="005830F8">
              <w:rPr>
                <w:rFonts w:ascii="Calibri" w:eastAsia="Times New Roman" w:hAnsi="Calibri" w:cs="Calibri"/>
                <w:b/>
                <w:bCs/>
                <w:color w:val="000000"/>
                <w:lang w:val="en-GB" w:eastAsia="en-GB"/>
              </w:rPr>
              <w:t>$395</w:t>
            </w:r>
          </w:p>
        </w:tc>
      </w:tr>
      <w:tr w:rsidR="005830F8" w:rsidRPr="005830F8" w14:paraId="40C4FDA7" w14:textId="77777777" w:rsidTr="005830F8">
        <w:trPr>
          <w:trHeight w:val="467"/>
          <w:jc w:val="center"/>
        </w:trPr>
        <w:tc>
          <w:tcPr>
            <w:cnfStyle w:val="001000000000" w:firstRow="0" w:lastRow="0" w:firstColumn="1" w:lastColumn="0" w:oddVBand="0" w:evenVBand="0" w:oddHBand="0" w:evenHBand="0" w:firstRowFirstColumn="0" w:firstRowLastColumn="0" w:lastRowFirstColumn="0" w:lastRowLastColumn="0"/>
            <w:tcW w:w="4610" w:type="dxa"/>
            <w:noWrap/>
            <w:hideMark/>
          </w:tcPr>
          <w:p w14:paraId="2FEB217D" w14:textId="77777777" w:rsidR="005830F8" w:rsidRPr="005830F8" w:rsidRDefault="005830F8" w:rsidP="005830F8">
            <w:pPr>
              <w:rPr>
                <w:rFonts w:ascii="Calibri" w:eastAsia="Times New Roman" w:hAnsi="Calibri" w:cs="Calibri"/>
                <w:color w:val="000000"/>
                <w:lang w:val="en-GB" w:eastAsia="en-GB"/>
              </w:rPr>
            </w:pPr>
            <w:r w:rsidRPr="005830F8">
              <w:rPr>
                <w:rFonts w:ascii="Calibri" w:eastAsia="Times New Roman" w:hAnsi="Calibri" w:cs="Calibri"/>
                <w:color w:val="000000"/>
                <w:lang w:val="en-GB" w:eastAsia="en-GB"/>
              </w:rPr>
              <w:t xml:space="preserve">D - C plus Transformer </w:t>
            </w:r>
          </w:p>
        </w:tc>
        <w:tc>
          <w:tcPr>
            <w:tcW w:w="1214" w:type="dxa"/>
            <w:noWrap/>
            <w:hideMark/>
          </w:tcPr>
          <w:p w14:paraId="6A707733" w14:textId="77777777" w:rsidR="005830F8" w:rsidRPr="005830F8" w:rsidRDefault="005830F8" w:rsidP="005830F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GB" w:eastAsia="en-GB"/>
              </w:rPr>
            </w:pPr>
            <w:r w:rsidRPr="005830F8">
              <w:rPr>
                <w:rFonts w:ascii="Calibri" w:eastAsia="Times New Roman" w:hAnsi="Calibri" w:cs="Calibri"/>
                <w:b/>
                <w:bCs/>
                <w:color w:val="000000"/>
                <w:lang w:val="en-GB" w:eastAsia="en-GB"/>
              </w:rPr>
              <w:t>20%</w:t>
            </w:r>
          </w:p>
        </w:tc>
        <w:tc>
          <w:tcPr>
            <w:tcW w:w="1192" w:type="dxa"/>
            <w:hideMark/>
          </w:tcPr>
          <w:p w14:paraId="7799C19B" w14:textId="77777777" w:rsidR="005830F8" w:rsidRPr="005830F8" w:rsidRDefault="005830F8" w:rsidP="005830F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GB" w:eastAsia="en-GB"/>
              </w:rPr>
            </w:pPr>
            <w:r w:rsidRPr="005830F8">
              <w:rPr>
                <w:rFonts w:ascii="Calibri" w:eastAsia="Times New Roman" w:hAnsi="Calibri" w:cs="Calibri"/>
                <w:b/>
                <w:bCs/>
                <w:color w:val="000000"/>
                <w:lang w:val="en-GB" w:eastAsia="en-GB"/>
              </w:rPr>
              <w:t>100000</w:t>
            </w:r>
          </w:p>
        </w:tc>
        <w:tc>
          <w:tcPr>
            <w:tcW w:w="1140" w:type="dxa"/>
            <w:hideMark/>
          </w:tcPr>
          <w:p w14:paraId="60A54E98" w14:textId="77777777" w:rsidR="005830F8" w:rsidRPr="005830F8" w:rsidRDefault="005830F8" w:rsidP="005830F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GB" w:eastAsia="en-GB"/>
              </w:rPr>
            </w:pPr>
            <w:r w:rsidRPr="005830F8">
              <w:rPr>
                <w:rFonts w:ascii="Calibri" w:eastAsia="Times New Roman" w:hAnsi="Calibri" w:cs="Calibri"/>
                <w:b/>
                <w:bCs/>
                <w:color w:val="000000"/>
                <w:lang w:val="en-GB" w:eastAsia="en-GB"/>
              </w:rPr>
              <w:t>$455</w:t>
            </w:r>
          </w:p>
        </w:tc>
      </w:tr>
      <w:tr w:rsidR="005830F8" w:rsidRPr="005830F8" w14:paraId="177CB1BC" w14:textId="77777777" w:rsidTr="005830F8">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4610" w:type="dxa"/>
            <w:noWrap/>
            <w:hideMark/>
          </w:tcPr>
          <w:p w14:paraId="6043C0BD" w14:textId="77777777" w:rsidR="005830F8" w:rsidRPr="005830F8" w:rsidRDefault="005830F8" w:rsidP="005830F8">
            <w:pPr>
              <w:rPr>
                <w:rFonts w:ascii="Calibri" w:eastAsia="Times New Roman" w:hAnsi="Calibri" w:cs="Calibri"/>
                <w:color w:val="000000"/>
                <w:lang w:val="en-GB" w:eastAsia="en-GB"/>
              </w:rPr>
            </w:pPr>
            <w:r w:rsidRPr="005830F8">
              <w:rPr>
                <w:rFonts w:ascii="Calibri" w:eastAsia="Times New Roman" w:hAnsi="Calibri" w:cs="Calibri"/>
                <w:color w:val="000000"/>
                <w:lang w:val="en-GB" w:eastAsia="en-GB"/>
              </w:rPr>
              <w:t>E - D plus MV Line</w:t>
            </w:r>
          </w:p>
        </w:tc>
        <w:tc>
          <w:tcPr>
            <w:tcW w:w="1214" w:type="dxa"/>
            <w:noWrap/>
            <w:hideMark/>
          </w:tcPr>
          <w:p w14:paraId="22460108" w14:textId="77777777" w:rsidR="005830F8" w:rsidRPr="005830F8" w:rsidRDefault="005830F8" w:rsidP="005830F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GB" w:eastAsia="en-GB"/>
              </w:rPr>
            </w:pPr>
            <w:r w:rsidRPr="005830F8">
              <w:rPr>
                <w:rFonts w:ascii="Calibri" w:eastAsia="Times New Roman" w:hAnsi="Calibri" w:cs="Calibri"/>
                <w:b/>
                <w:bCs/>
                <w:color w:val="000000"/>
                <w:lang w:val="en-GB" w:eastAsia="en-GB"/>
              </w:rPr>
              <w:t>40%</w:t>
            </w:r>
          </w:p>
        </w:tc>
        <w:tc>
          <w:tcPr>
            <w:tcW w:w="1192" w:type="dxa"/>
            <w:hideMark/>
          </w:tcPr>
          <w:p w14:paraId="72A258BC" w14:textId="77777777" w:rsidR="005830F8" w:rsidRPr="005830F8" w:rsidRDefault="005830F8" w:rsidP="005830F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GB" w:eastAsia="en-GB"/>
              </w:rPr>
            </w:pPr>
            <w:r w:rsidRPr="005830F8">
              <w:rPr>
                <w:rFonts w:ascii="Calibri" w:eastAsia="Times New Roman" w:hAnsi="Calibri" w:cs="Calibri"/>
                <w:b/>
                <w:bCs/>
                <w:color w:val="000000"/>
                <w:lang w:val="en-GB" w:eastAsia="en-GB"/>
              </w:rPr>
              <w:t>200000</w:t>
            </w:r>
          </w:p>
        </w:tc>
        <w:tc>
          <w:tcPr>
            <w:tcW w:w="1140" w:type="dxa"/>
            <w:hideMark/>
          </w:tcPr>
          <w:p w14:paraId="5933136A" w14:textId="77777777" w:rsidR="005830F8" w:rsidRPr="005830F8" w:rsidRDefault="005830F8" w:rsidP="005830F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GB" w:eastAsia="en-GB"/>
              </w:rPr>
            </w:pPr>
            <w:r w:rsidRPr="005830F8">
              <w:rPr>
                <w:rFonts w:ascii="Calibri" w:eastAsia="Times New Roman" w:hAnsi="Calibri" w:cs="Calibri"/>
                <w:b/>
                <w:bCs/>
                <w:color w:val="000000"/>
                <w:lang w:val="en-GB" w:eastAsia="en-GB"/>
              </w:rPr>
              <w:t>$555</w:t>
            </w:r>
          </w:p>
        </w:tc>
      </w:tr>
      <w:tr w:rsidR="005830F8" w:rsidRPr="005830F8" w14:paraId="0FE4B884" w14:textId="77777777" w:rsidTr="005830F8">
        <w:trPr>
          <w:trHeight w:val="467"/>
          <w:jc w:val="center"/>
        </w:trPr>
        <w:tc>
          <w:tcPr>
            <w:cnfStyle w:val="001000000000" w:firstRow="0" w:lastRow="0" w:firstColumn="1" w:lastColumn="0" w:oddVBand="0" w:evenVBand="0" w:oddHBand="0" w:evenHBand="0" w:firstRowFirstColumn="0" w:firstRowLastColumn="0" w:lastRowFirstColumn="0" w:lastRowLastColumn="0"/>
            <w:tcW w:w="4610" w:type="dxa"/>
            <w:hideMark/>
          </w:tcPr>
          <w:p w14:paraId="25BB462D" w14:textId="77777777" w:rsidR="005830F8" w:rsidRPr="005830F8" w:rsidRDefault="005830F8" w:rsidP="005830F8">
            <w:pPr>
              <w:jc w:val="center"/>
              <w:rPr>
                <w:rFonts w:ascii="Calibri" w:eastAsia="Times New Roman" w:hAnsi="Calibri" w:cs="Calibri"/>
                <w:color w:val="000000"/>
                <w:lang w:val="en-GB" w:eastAsia="en-GB"/>
              </w:rPr>
            </w:pPr>
            <w:r w:rsidRPr="005830F8">
              <w:rPr>
                <w:rFonts w:ascii="Calibri" w:eastAsia="Times New Roman" w:hAnsi="Calibri" w:cs="Calibri"/>
                <w:color w:val="000000"/>
                <w:lang w:val="en-GB" w:eastAsia="en-GB"/>
              </w:rPr>
              <w:t>Total</w:t>
            </w:r>
          </w:p>
        </w:tc>
        <w:tc>
          <w:tcPr>
            <w:tcW w:w="1214" w:type="dxa"/>
            <w:hideMark/>
          </w:tcPr>
          <w:p w14:paraId="1C7FEDC3" w14:textId="77777777" w:rsidR="005830F8" w:rsidRPr="005830F8" w:rsidRDefault="005830F8" w:rsidP="005830F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GB" w:eastAsia="en-GB"/>
              </w:rPr>
            </w:pPr>
            <w:r w:rsidRPr="005830F8">
              <w:rPr>
                <w:rFonts w:ascii="Calibri" w:eastAsia="Times New Roman" w:hAnsi="Calibri" w:cs="Calibri"/>
                <w:b/>
                <w:bCs/>
                <w:color w:val="000000"/>
                <w:lang w:val="en-GB" w:eastAsia="en-GB"/>
              </w:rPr>
              <w:t>100%</w:t>
            </w:r>
          </w:p>
        </w:tc>
        <w:tc>
          <w:tcPr>
            <w:tcW w:w="1192" w:type="dxa"/>
            <w:hideMark/>
          </w:tcPr>
          <w:p w14:paraId="72D11B44" w14:textId="77777777" w:rsidR="005830F8" w:rsidRPr="005830F8" w:rsidRDefault="005830F8" w:rsidP="005830F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GB" w:eastAsia="en-GB"/>
              </w:rPr>
            </w:pPr>
            <w:r w:rsidRPr="005830F8">
              <w:rPr>
                <w:rFonts w:ascii="Calibri" w:eastAsia="Times New Roman" w:hAnsi="Calibri" w:cs="Calibri"/>
                <w:b/>
                <w:bCs/>
                <w:color w:val="000000"/>
                <w:lang w:val="en-GB" w:eastAsia="en-GB"/>
              </w:rPr>
              <w:t>500000</w:t>
            </w:r>
          </w:p>
        </w:tc>
        <w:tc>
          <w:tcPr>
            <w:tcW w:w="1140" w:type="dxa"/>
            <w:hideMark/>
          </w:tcPr>
          <w:p w14:paraId="5B100034" w14:textId="77777777" w:rsidR="005830F8" w:rsidRPr="005830F8" w:rsidRDefault="005830F8" w:rsidP="005830F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GB" w:eastAsia="en-GB"/>
              </w:rPr>
            </w:pPr>
            <w:r w:rsidRPr="005830F8">
              <w:rPr>
                <w:rFonts w:ascii="Calibri" w:eastAsia="Times New Roman" w:hAnsi="Calibri" w:cs="Calibri"/>
                <w:b/>
                <w:bCs/>
                <w:color w:val="000000"/>
                <w:lang w:val="en-GB" w:eastAsia="en-GB"/>
              </w:rPr>
              <w:t>$409</w:t>
            </w:r>
          </w:p>
        </w:tc>
      </w:tr>
    </w:tbl>
    <w:p w14:paraId="7992C66B" w14:textId="77777777" w:rsidR="005830F8" w:rsidRDefault="005830F8"/>
    <w:p w14:paraId="31CE6C09" w14:textId="77777777" w:rsidR="00626A4E" w:rsidRDefault="005D03C2">
      <w:pPr>
        <w:pStyle w:val="Heading2"/>
      </w:pPr>
      <w:r>
        <w:t>4. VISUAL INSIGHT – COST STRUCTURE</w:t>
      </w:r>
    </w:p>
    <w:p w14:paraId="57135F5F" w14:textId="75BEE6A2" w:rsidR="00626A4E" w:rsidRDefault="005D03C2">
      <w:pPr>
        <w:rPr>
          <w:sz w:val="24"/>
        </w:rPr>
      </w:pPr>
      <w:r>
        <w:rPr>
          <w:sz w:val="24"/>
        </w:rPr>
        <w:br/>
        <w:t>The cost structure visualization provides an immediate understanding of how investment is distributed across the key components of a distribution network. In typical electrification scenarios, the majority of expenditure is concentrated in low-voltage networks and service connections, rather than in medium-voltage infrastructure or upstream assets. This insight is fundamental, as it shifts attention toward the elements of the system where design optimization can yield the greatest financial impact.</w:t>
      </w:r>
    </w:p>
    <w:p w14:paraId="488AF172" w14:textId="77777777" w:rsidR="00F7074C" w:rsidRDefault="00F7074C">
      <w:pPr>
        <w:rPr>
          <w:sz w:val="24"/>
        </w:rPr>
      </w:pPr>
    </w:p>
    <w:p w14:paraId="2A67059E" w14:textId="77777777" w:rsidR="00F7074C" w:rsidRDefault="00F7074C">
      <w:pPr>
        <w:rPr>
          <w:sz w:val="24"/>
        </w:rPr>
      </w:pPr>
    </w:p>
    <w:p w14:paraId="443B48FA" w14:textId="1A461DB2" w:rsidR="00F7074C" w:rsidRPr="005A586E" w:rsidRDefault="00F7074C" w:rsidP="005A586E">
      <w:pPr>
        <w:jc w:val="center"/>
        <w:rPr>
          <w:sz w:val="24"/>
        </w:rPr>
      </w:pPr>
      <w:r>
        <w:rPr>
          <w:noProof/>
        </w:rPr>
        <w:drawing>
          <wp:inline distT="0" distB="0" distL="0" distR="0" wp14:anchorId="4EB7B1E7" wp14:editId="24771469">
            <wp:extent cx="5295900" cy="3790950"/>
            <wp:effectExtent l="0" t="0" r="0" b="0"/>
            <wp:docPr id="1602395331" name="Chart 1">
              <a:extLst xmlns:a="http://schemas.openxmlformats.org/drawingml/2006/main">
                <a:ext uri="{FF2B5EF4-FFF2-40B4-BE49-F238E27FC236}">
                  <a16:creationId xmlns:a16="http://schemas.microsoft.com/office/drawing/2014/main" id="{EF5F2A2D-E9D4-D825-D61D-67F0840287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D3EB201" w14:textId="77777777" w:rsidR="00626A4E" w:rsidRDefault="005D03C2">
      <w:pPr>
        <w:pStyle w:val="Heading2"/>
      </w:pPr>
      <w:r>
        <w:t>5. VISUAL INSIGHT – DESIGN LEVEL VS COST</w:t>
      </w:r>
    </w:p>
    <w:p w14:paraId="093F98D3" w14:textId="5E380034" w:rsidR="00626A4E" w:rsidRDefault="005D03C2">
      <w:pPr>
        <w:rPr>
          <w:sz w:val="24"/>
        </w:rPr>
      </w:pPr>
      <w:r>
        <w:rPr>
          <w:sz w:val="24"/>
        </w:rPr>
        <w:br/>
        <w:t>The comparison across design levels illustrates the direct relationship between technical specification and cost per connection. As the system evolves from basic connection standards toward more robust configurations, the cost per connection increases significantly, often in a non-linear manner. This highlights the trade-offs between service quality, system robustness, and affordability.</w:t>
      </w:r>
    </w:p>
    <w:p w14:paraId="594E994A" w14:textId="77777777" w:rsidR="00F7074C" w:rsidRDefault="00F7074C">
      <w:pPr>
        <w:rPr>
          <w:sz w:val="24"/>
        </w:rPr>
      </w:pPr>
    </w:p>
    <w:p w14:paraId="508FB490" w14:textId="0CBBF31B" w:rsidR="00F7074C" w:rsidRDefault="00F7074C" w:rsidP="00F7074C">
      <w:pPr>
        <w:jc w:val="center"/>
      </w:pPr>
      <w:r>
        <w:rPr>
          <w:noProof/>
        </w:rPr>
        <w:drawing>
          <wp:inline distT="0" distB="0" distL="0" distR="0" wp14:anchorId="216A08C2" wp14:editId="70DE1FBC">
            <wp:extent cx="5305425" cy="2695575"/>
            <wp:effectExtent l="0" t="0" r="9525" b="9525"/>
            <wp:docPr id="868211988" name="Chart 1">
              <a:extLst xmlns:a="http://schemas.openxmlformats.org/drawingml/2006/main">
                <a:ext uri="{FF2B5EF4-FFF2-40B4-BE49-F238E27FC236}">
                  <a16:creationId xmlns:a16="http://schemas.microsoft.com/office/drawing/2014/main" id="{8412FD2C-09DA-D037-5475-880DDB320C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7D67C90" w14:textId="77777777" w:rsidR="00626A4E" w:rsidRDefault="005D03C2">
      <w:pPr>
        <w:pStyle w:val="Heading2"/>
      </w:pPr>
      <w:r>
        <w:t>6. MODEL CAPABILITIES</w:t>
      </w:r>
    </w:p>
    <w:p w14:paraId="2A759D12" w14:textId="77777777" w:rsidR="00626A4E" w:rsidRDefault="005D03C2">
      <w:r>
        <w:rPr>
          <w:sz w:val="24"/>
        </w:rPr>
        <w:t>The model functions as an integrated network and cost engine that converts a limited set of input parameters into a complete representation of the distribution system. From initial connection assumptions, it derives LV and MV network lengths, transformer requirements, and infrastructure quantities. These are linked to a parameterized cost structure, allowing total CAPEX and cost per connection to be computed instantly. The transparency of inputs allows rapid scenario testing.</w:t>
      </w:r>
    </w:p>
    <w:p w14:paraId="7D177F92" w14:textId="77777777" w:rsidR="00626A4E" w:rsidRDefault="005D03C2">
      <w:pPr>
        <w:pStyle w:val="Heading2"/>
      </w:pPr>
      <w:r>
        <w:t>7. OUTPUT STRUCTURE</w:t>
      </w:r>
    </w:p>
    <w:p w14:paraId="0986018C" w14:textId="32357B48" w:rsidR="00626A4E" w:rsidRDefault="005D03C2">
      <w:pPr>
        <w:rPr>
          <w:sz w:val="24"/>
        </w:rPr>
      </w:pPr>
      <w:r>
        <w:rPr>
          <w:sz w:val="24"/>
        </w:rPr>
        <w:br/>
        <w:t>The output structure consolidates all key results into a clear and concise format, presenting infrastructure quantities alongside their associated costs. The inclusion of cost per connection as a primary metric ensures consistent evaluation across scenarios.</w:t>
      </w:r>
    </w:p>
    <w:p w14:paraId="67430AB3" w14:textId="77777777" w:rsidR="00F7074C" w:rsidRDefault="00F7074C">
      <w:pPr>
        <w:rPr>
          <w:sz w:val="24"/>
        </w:rPr>
      </w:pPr>
    </w:p>
    <w:tbl>
      <w:tblPr>
        <w:tblStyle w:val="GridTable5Dark-Accent5"/>
        <w:tblW w:w="8892" w:type="dxa"/>
        <w:jc w:val="center"/>
        <w:tblLook w:val="04A0" w:firstRow="1" w:lastRow="0" w:firstColumn="1" w:lastColumn="0" w:noHBand="0" w:noVBand="1"/>
      </w:tblPr>
      <w:tblGrid>
        <w:gridCol w:w="4005"/>
        <w:gridCol w:w="1649"/>
        <w:gridCol w:w="1291"/>
        <w:gridCol w:w="1947"/>
      </w:tblGrid>
      <w:tr w:rsidR="00F7074C" w:rsidRPr="00F7074C" w14:paraId="41ACBC28" w14:textId="77777777" w:rsidTr="005830F8">
        <w:trPr>
          <w:cnfStyle w:val="100000000000" w:firstRow="1" w:lastRow="0" w:firstColumn="0" w:lastColumn="0" w:oddVBand="0" w:evenVBand="0" w:oddHBand="0" w:evenHBand="0" w:firstRowFirstColumn="0" w:firstRowLastColumn="0" w:lastRowFirstColumn="0" w:lastRowLastColumn="0"/>
          <w:trHeight w:val="503"/>
          <w:jc w:val="center"/>
        </w:trPr>
        <w:tc>
          <w:tcPr>
            <w:cnfStyle w:val="001000000000" w:firstRow="0" w:lastRow="0" w:firstColumn="1" w:lastColumn="0" w:oddVBand="0" w:evenVBand="0" w:oddHBand="0" w:evenHBand="0" w:firstRowFirstColumn="0" w:firstRowLastColumn="0" w:lastRowFirstColumn="0" w:lastRowLastColumn="0"/>
            <w:tcW w:w="4005" w:type="dxa"/>
            <w:hideMark/>
          </w:tcPr>
          <w:p w14:paraId="3075B4E5" w14:textId="77777777" w:rsidR="00F7074C" w:rsidRPr="00F7074C" w:rsidRDefault="00F7074C" w:rsidP="00F7074C">
            <w:pPr>
              <w:jc w:val="center"/>
              <w:rPr>
                <w:rFonts w:ascii="Calibri" w:eastAsia="Times New Roman" w:hAnsi="Calibri" w:cs="Calibri"/>
                <w:color w:val="000000"/>
                <w:lang w:val="en-GB" w:eastAsia="en-GB"/>
              </w:rPr>
            </w:pPr>
            <w:r w:rsidRPr="00F7074C">
              <w:rPr>
                <w:rFonts w:ascii="Calibri" w:eastAsia="Times New Roman" w:hAnsi="Calibri" w:cs="Calibri"/>
                <w:color w:val="000000"/>
                <w:lang w:val="en-GB" w:eastAsia="en-GB"/>
              </w:rPr>
              <w:t>CONNECTION TYPE --&gt;</w:t>
            </w:r>
            <w:proofErr w:type="gramStart"/>
            <w:r w:rsidRPr="00F7074C">
              <w:rPr>
                <w:rFonts w:ascii="Calibri" w:eastAsia="Times New Roman" w:hAnsi="Calibri" w:cs="Calibri"/>
                <w:color w:val="000000"/>
                <w:lang w:val="en-GB" w:eastAsia="en-GB"/>
              </w:rPr>
              <w:t>&gt;  COMPONENT</w:t>
            </w:r>
            <w:proofErr w:type="gramEnd"/>
            <w:r w:rsidRPr="00F7074C">
              <w:rPr>
                <w:rFonts w:ascii="Calibri" w:eastAsia="Times New Roman" w:hAnsi="Calibri" w:cs="Calibri"/>
                <w:color w:val="000000"/>
                <w:lang w:val="en-GB" w:eastAsia="en-GB"/>
              </w:rPr>
              <w:t xml:space="preserve"> </w:t>
            </w:r>
          </w:p>
        </w:tc>
        <w:tc>
          <w:tcPr>
            <w:tcW w:w="1649" w:type="dxa"/>
            <w:hideMark/>
          </w:tcPr>
          <w:p w14:paraId="2EA97961" w14:textId="77777777" w:rsidR="00F7074C" w:rsidRPr="00F7074C" w:rsidRDefault="00F7074C" w:rsidP="00F7074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en-GB"/>
              </w:rPr>
            </w:pPr>
            <w:r w:rsidRPr="00F7074C">
              <w:rPr>
                <w:rFonts w:ascii="Calibri" w:eastAsia="Times New Roman" w:hAnsi="Calibri" w:cs="Calibri"/>
                <w:color w:val="000000"/>
                <w:lang w:val="en-GB" w:eastAsia="en-GB"/>
              </w:rPr>
              <w:t> </w:t>
            </w:r>
          </w:p>
        </w:tc>
        <w:tc>
          <w:tcPr>
            <w:tcW w:w="1291" w:type="dxa"/>
            <w:hideMark/>
          </w:tcPr>
          <w:p w14:paraId="36A23CF4" w14:textId="77777777" w:rsidR="00F7074C" w:rsidRPr="00F7074C" w:rsidRDefault="00F7074C" w:rsidP="00F7074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en-GB"/>
              </w:rPr>
            </w:pPr>
            <w:r w:rsidRPr="00F7074C">
              <w:rPr>
                <w:rFonts w:ascii="Calibri" w:eastAsia="Times New Roman" w:hAnsi="Calibri" w:cs="Calibri"/>
                <w:color w:val="000000"/>
                <w:lang w:val="en-GB" w:eastAsia="en-GB"/>
              </w:rPr>
              <w:t> </w:t>
            </w:r>
          </w:p>
        </w:tc>
        <w:tc>
          <w:tcPr>
            <w:tcW w:w="1947" w:type="dxa"/>
            <w:hideMark/>
          </w:tcPr>
          <w:p w14:paraId="090937C2" w14:textId="77777777" w:rsidR="00F7074C" w:rsidRPr="00F7074C" w:rsidRDefault="00F7074C" w:rsidP="00F7074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en-GB"/>
              </w:rPr>
            </w:pPr>
            <w:r w:rsidRPr="00F7074C">
              <w:rPr>
                <w:rFonts w:ascii="Calibri" w:eastAsia="Times New Roman" w:hAnsi="Calibri" w:cs="Calibri"/>
                <w:color w:val="000000"/>
                <w:lang w:val="en-GB" w:eastAsia="en-GB"/>
              </w:rPr>
              <w:t> </w:t>
            </w:r>
          </w:p>
        </w:tc>
      </w:tr>
      <w:tr w:rsidR="00F7074C" w:rsidRPr="00F7074C" w14:paraId="08450CE3" w14:textId="77777777" w:rsidTr="005830F8">
        <w:trPr>
          <w:cnfStyle w:val="000000100000" w:firstRow="0" w:lastRow="0" w:firstColumn="0" w:lastColumn="0" w:oddVBand="0" w:evenVBand="0" w:oddHBand="1" w:evenHBand="0" w:firstRowFirstColumn="0" w:firstRowLastColumn="0" w:lastRowFirstColumn="0" w:lastRowLastColumn="0"/>
          <w:trHeight w:val="492"/>
          <w:jc w:val="center"/>
        </w:trPr>
        <w:tc>
          <w:tcPr>
            <w:cnfStyle w:val="001000000000" w:firstRow="0" w:lastRow="0" w:firstColumn="1" w:lastColumn="0" w:oddVBand="0" w:evenVBand="0" w:oddHBand="0" w:evenHBand="0" w:firstRowFirstColumn="0" w:firstRowLastColumn="0" w:lastRowFirstColumn="0" w:lastRowLastColumn="0"/>
            <w:tcW w:w="4005" w:type="dxa"/>
            <w:hideMark/>
          </w:tcPr>
          <w:p w14:paraId="1ABB2A98" w14:textId="77777777" w:rsidR="00F7074C" w:rsidRPr="00F7074C" w:rsidRDefault="00F7074C" w:rsidP="00F7074C">
            <w:pPr>
              <w:jc w:val="center"/>
              <w:rPr>
                <w:rFonts w:ascii="Calibri" w:eastAsia="Times New Roman" w:hAnsi="Calibri" w:cs="Calibri"/>
                <w:color w:val="000000"/>
                <w:lang w:val="en-GB" w:eastAsia="en-GB"/>
              </w:rPr>
            </w:pPr>
            <w:r w:rsidRPr="00F7074C">
              <w:rPr>
                <w:rFonts w:ascii="Calibri" w:eastAsia="Times New Roman" w:hAnsi="Calibri" w:cs="Calibri"/>
                <w:color w:val="000000"/>
                <w:lang w:val="en-GB" w:eastAsia="en-GB"/>
              </w:rPr>
              <w:t xml:space="preserve">Total Potential Connections </w:t>
            </w:r>
          </w:p>
        </w:tc>
        <w:tc>
          <w:tcPr>
            <w:tcW w:w="1649" w:type="dxa"/>
            <w:hideMark/>
          </w:tcPr>
          <w:p w14:paraId="195DB774" w14:textId="77777777" w:rsidR="00F7074C" w:rsidRPr="00F7074C" w:rsidRDefault="00F7074C" w:rsidP="00F707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GB" w:eastAsia="en-GB"/>
              </w:rPr>
            </w:pPr>
            <w:r w:rsidRPr="00F7074C">
              <w:rPr>
                <w:rFonts w:ascii="Calibri" w:eastAsia="Times New Roman" w:hAnsi="Calibri" w:cs="Calibri"/>
                <w:b/>
                <w:bCs/>
                <w:color w:val="000000"/>
                <w:lang w:val="en-GB" w:eastAsia="en-GB"/>
              </w:rPr>
              <w:t> </w:t>
            </w:r>
          </w:p>
        </w:tc>
        <w:tc>
          <w:tcPr>
            <w:tcW w:w="1291" w:type="dxa"/>
            <w:hideMark/>
          </w:tcPr>
          <w:p w14:paraId="3B539364" w14:textId="77777777" w:rsidR="00F7074C" w:rsidRPr="00F7074C" w:rsidRDefault="00F7074C" w:rsidP="00F707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GB" w:eastAsia="en-GB"/>
              </w:rPr>
            </w:pPr>
            <w:r w:rsidRPr="00F7074C">
              <w:rPr>
                <w:rFonts w:ascii="Calibri" w:eastAsia="Times New Roman" w:hAnsi="Calibri" w:cs="Calibri"/>
                <w:b/>
                <w:bCs/>
                <w:color w:val="000000"/>
                <w:lang w:val="en-GB" w:eastAsia="en-GB"/>
              </w:rPr>
              <w:t> </w:t>
            </w:r>
          </w:p>
        </w:tc>
        <w:tc>
          <w:tcPr>
            <w:tcW w:w="1947" w:type="dxa"/>
            <w:hideMark/>
          </w:tcPr>
          <w:p w14:paraId="104A2A4A" w14:textId="77777777" w:rsidR="00F7074C" w:rsidRPr="00F7074C" w:rsidRDefault="00F7074C" w:rsidP="00F707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GB" w:eastAsia="en-GB"/>
              </w:rPr>
            </w:pPr>
            <w:r w:rsidRPr="00F7074C">
              <w:rPr>
                <w:rFonts w:ascii="Calibri" w:eastAsia="Times New Roman" w:hAnsi="Calibri" w:cs="Calibri"/>
                <w:b/>
                <w:bCs/>
                <w:color w:val="000000"/>
                <w:lang w:val="en-GB" w:eastAsia="en-GB"/>
              </w:rPr>
              <w:t> </w:t>
            </w:r>
          </w:p>
        </w:tc>
      </w:tr>
      <w:tr w:rsidR="00F7074C" w:rsidRPr="00F7074C" w14:paraId="77AFCA85" w14:textId="77777777" w:rsidTr="005830F8">
        <w:trPr>
          <w:trHeight w:val="492"/>
          <w:jc w:val="center"/>
        </w:trPr>
        <w:tc>
          <w:tcPr>
            <w:cnfStyle w:val="001000000000" w:firstRow="0" w:lastRow="0" w:firstColumn="1" w:lastColumn="0" w:oddVBand="0" w:evenVBand="0" w:oddHBand="0" w:evenHBand="0" w:firstRowFirstColumn="0" w:firstRowLastColumn="0" w:lastRowFirstColumn="0" w:lastRowLastColumn="0"/>
            <w:tcW w:w="4005" w:type="dxa"/>
            <w:hideMark/>
          </w:tcPr>
          <w:p w14:paraId="5C0C1630" w14:textId="77777777" w:rsidR="00F7074C" w:rsidRPr="00F7074C" w:rsidRDefault="00F7074C" w:rsidP="00F7074C">
            <w:pPr>
              <w:jc w:val="center"/>
              <w:rPr>
                <w:rFonts w:ascii="Calibri" w:eastAsia="Times New Roman" w:hAnsi="Calibri" w:cs="Calibri"/>
                <w:color w:val="000000"/>
                <w:lang w:val="en-GB" w:eastAsia="en-GB"/>
              </w:rPr>
            </w:pPr>
            <w:r w:rsidRPr="00F7074C">
              <w:rPr>
                <w:rFonts w:ascii="Calibri" w:eastAsia="Times New Roman" w:hAnsi="Calibri" w:cs="Calibri"/>
                <w:color w:val="000000"/>
                <w:lang w:val="en-GB" w:eastAsia="en-GB"/>
              </w:rPr>
              <w:t>500000</w:t>
            </w:r>
          </w:p>
        </w:tc>
        <w:tc>
          <w:tcPr>
            <w:tcW w:w="1649" w:type="dxa"/>
            <w:hideMark/>
          </w:tcPr>
          <w:p w14:paraId="56BC1257" w14:textId="77777777" w:rsidR="00F7074C" w:rsidRPr="00F7074C" w:rsidRDefault="00F7074C" w:rsidP="00F707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GB" w:eastAsia="en-GB"/>
              </w:rPr>
            </w:pPr>
            <w:r w:rsidRPr="00F7074C">
              <w:rPr>
                <w:rFonts w:ascii="Calibri" w:eastAsia="Times New Roman" w:hAnsi="Calibri" w:cs="Calibri"/>
                <w:b/>
                <w:bCs/>
                <w:color w:val="000000"/>
                <w:lang w:val="en-GB" w:eastAsia="en-GB"/>
              </w:rPr>
              <w:t>Total</w:t>
            </w:r>
          </w:p>
        </w:tc>
        <w:tc>
          <w:tcPr>
            <w:tcW w:w="1291" w:type="dxa"/>
            <w:hideMark/>
          </w:tcPr>
          <w:p w14:paraId="08188AD2" w14:textId="77777777" w:rsidR="00F7074C" w:rsidRPr="00F7074C" w:rsidRDefault="00F7074C" w:rsidP="00F707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GB" w:eastAsia="en-GB"/>
              </w:rPr>
            </w:pPr>
            <w:r w:rsidRPr="00F7074C">
              <w:rPr>
                <w:rFonts w:ascii="Calibri" w:eastAsia="Times New Roman" w:hAnsi="Calibri" w:cs="Calibri"/>
                <w:b/>
                <w:bCs/>
                <w:color w:val="000000"/>
                <w:lang w:val="en-GB" w:eastAsia="en-GB"/>
              </w:rPr>
              <w:t>Unit Cost</w:t>
            </w:r>
          </w:p>
        </w:tc>
        <w:tc>
          <w:tcPr>
            <w:tcW w:w="1947" w:type="dxa"/>
            <w:hideMark/>
          </w:tcPr>
          <w:p w14:paraId="30924D64" w14:textId="77777777" w:rsidR="00F7074C" w:rsidRPr="00F7074C" w:rsidRDefault="00F7074C" w:rsidP="00F707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GB" w:eastAsia="en-GB"/>
              </w:rPr>
            </w:pPr>
            <w:r w:rsidRPr="00F7074C">
              <w:rPr>
                <w:rFonts w:ascii="Calibri" w:eastAsia="Times New Roman" w:hAnsi="Calibri" w:cs="Calibri"/>
                <w:b/>
                <w:bCs/>
                <w:color w:val="000000"/>
                <w:lang w:val="en-GB" w:eastAsia="en-GB"/>
              </w:rPr>
              <w:t>Total Cost</w:t>
            </w:r>
          </w:p>
        </w:tc>
      </w:tr>
      <w:tr w:rsidR="00F7074C" w:rsidRPr="00F7074C" w14:paraId="78B81FB0" w14:textId="77777777" w:rsidTr="005830F8">
        <w:trPr>
          <w:cnfStyle w:val="000000100000" w:firstRow="0" w:lastRow="0" w:firstColumn="0" w:lastColumn="0" w:oddVBand="0" w:evenVBand="0" w:oddHBand="1" w:evenHBand="0" w:firstRowFirstColumn="0" w:firstRowLastColumn="0" w:lastRowFirstColumn="0" w:lastRowLastColumn="0"/>
          <w:trHeight w:val="492"/>
          <w:jc w:val="center"/>
        </w:trPr>
        <w:tc>
          <w:tcPr>
            <w:cnfStyle w:val="001000000000" w:firstRow="0" w:lastRow="0" w:firstColumn="1" w:lastColumn="0" w:oddVBand="0" w:evenVBand="0" w:oddHBand="0" w:evenHBand="0" w:firstRowFirstColumn="0" w:firstRowLastColumn="0" w:lastRowFirstColumn="0" w:lastRowLastColumn="0"/>
            <w:tcW w:w="4005" w:type="dxa"/>
            <w:hideMark/>
          </w:tcPr>
          <w:p w14:paraId="2DF93E50" w14:textId="77777777" w:rsidR="00F7074C" w:rsidRPr="00F7074C" w:rsidRDefault="00F7074C" w:rsidP="00F7074C">
            <w:pPr>
              <w:jc w:val="center"/>
              <w:rPr>
                <w:rFonts w:ascii="Calibri" w:eastAsia="Times New Roman" w:hAnsi="Calibri" w:cs="Calibri"/>
                <w:color w:val="000000"/>
                <w:lang w:val="en-GB" w:eastAsia="en-GB"/>
              </w:rPr>
            </w:pPr>
            <w:r w:rsidRPr="00F7074C">
              <w:rPr>
                <w:rFonts w:ascii="Calibri" w:eastAsia="Times New Roman" w:hAnsi="Calibri" w:cs="Calibri"/>
                <w:color w:val="000000"/>
                <w:lang w:val="en-GB" w:eastAsia="en-GB"/>
              </w:rPr>
              <w:t xml:space="preserve">Service Connections </w:t>
            </w:r>
          </w:p>
        </w:tc>
        <w:tc>
          <w:tcPr>
            <w:tcW w:w="1649" w:type="dxa"/>
            <w:hideMark/>
          </w:tcPr>
          <w:p w14:paraId="4DD84F6A" w14:textId="77777777" w:rsidR="00F7074C" w:rsidRPr="00F7074C" w:rsidRDefault="00F7074C" w:rsidP="00F707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GB" w:eastAsia="en-GB"/>
              </w:rPr>
            </w:pPr>
            <w:r w:rsidRPr="00F7074C">
              <w:rPr>
                <w:rFonts w:ascii="Calibri" w:eastAsia="Times New Roman" w:hAnsi="Calibri" w:cs="Calibri"/>
                <w:b/>
                <w:bCs/>
                <w:color w:val="000000"/>
                <w:lang w:val="en-GB" w:eastAsia="en-GB"/>
              </w:rPr>
              <w:t>500,000.00</w:t>
            </w:r>
          </w:p>
        </w:tc>
        <w:tc>
          <w:tcPr>
            <w:tcW w:w="1291" w:type="dxa"/>
            <w:hideMark/>
          </w:tcPr>
          <w:p w14:paraId="7E6B72DD" w14:textId="77777777" w:rsidR="00F7074C" w:rsidRPr="00F7074C" w:rsidRDefault="00F7074C" w:rsidP="00F707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GB" w:eastAsia="en-GB"/>
              </w:rPr>
            </w:pPr>
            <w:r w:rsidRPr="00F7074C">
              <w:rPr>
                <w:rFonts w:ascii="Calibri" w:eastAsia="Times New Roman" w:hAnsi="Calibri" w:cs="Calibri"/>
                <w:b/>
                <w:bCs/>
                <w:color w:val="000000"/>
                <w:lang w:val="en-GB" w:eastAsia="en-GB"/>
              </w:rPr>
              <w:t>$150</w:t>
            </w:r>
          </w:p>
        </w:tc>
        <w:tc>
          <w:tcPr>
            <w:tcW w:w="1947" w:type="dxa"/>
            <w:hideMark/>
          </w:tcPr>
          <w:p w14:paraId="7B2294EC" w14:textId="77777777" w:rsidR="00F7074C" w:rsidRPr="00F7074C" w:rsidRDefault="00F7074C" w:rsidP="00F707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GB" w:eastAsia="en-GB"/>
              </w:rPr>
            </w:pPr>
            <w:r w:rsidRPr="00F7074C">
              <w:rPr>
                <w:rFonts w:ascii="Calibri" w:eastAsia="Times New Roman" w:hAnsi="Calibri" w:cs="Calibri"/>
                <w:b/>
                <w:bCs/>
                <w:color w:val="000000"/>
                <w:lang w:val="en-GB" w:eastAsia="en-GB"/>
              </w:rPr>
              <w:t>$75,000,000</w:t>
            </w:r>
          </w:p>
        </w:tc>
      </w:tr>
      <w:tr w:rsidR="00F7074C" w:rsidRPr="00F7074C" w14:paraId="67D0F092" w14:textId="77777777" w:rsidTr="005830F8">
        <w:trPr>
          <w:trHeight w:val="492"/>
          <w:jc w:val="center"/>
        </w:trPr>
        <w:tc>
          <w:tcPr>
            <w:cnfStyle w:val="001000000000" w:firstRow="0" w:lastRow="0" w:firstColumn="1" w:lastColumn="0" w:oddVBand="0" w:evenVBand="0" w:oddHBand="0" w:evenHBand="0" w:firstRowFirstColumn="0" w:firstRowLastColumn="0" w:lastRowFirstColumn="0" w:lastRowLastColumn="0"/>
            <w:tcW w:w="4005" w:type="dxa"/>
            <w:hideMark/>
          </w:tcPr>
          <w:p w14:paraId="4AA489D0" w14:textId="77777777" w:rsidR="00F7074C" w:rsidRPr="00F7074C" w:rsidRDefault="00F7074C" w:rsidP="00F7074C">
            <w:pPr>
              <w:jc w:val="center"/>
              <w:rPr>
                <w:rFonts w:ascii="Calibri" w:eastAsia="Times New Roman" w:hAnsi="Calibri" w:cs="Calibri"/>
                <w:color w:val="000000"/>
                <w:lang w:val="en-GB" w:eastAsia="en-GB"/>
              </w:rPr>
            </w:pPr>
            <w:r w:rsidRPr="00F7074C">
              <w:rPr>
                <w:rFonts w:ascii="Calibri" w:eastAsia="Times New Roman" w:hAnsi="Calibri" w:cs="Calibri"/>
                <w:color w:val="000000"/>
                <w:lang w:val="en-GB" w:eastAsia="en-GB"/>
              </w:rPr>
              <w:t>Ready Boards</w:t>
            </w:r>
          </w:p>
        </w:tc>
        <w:tc>
          <w:tcPr>
            <w:tcW w:w="1649" w:type="dxa"/>
            <w:hideMark/>
          </w:tcPr>
          <w:p w14:paraId="2547D98A" w14:textId="77777777" w:rsidR="00F7074C" w:rsidRPr="00F7074C" w:rsidRDefault="00F7074C" w:rsidP="00F707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GB" w:eastAsia="en-GB"/>
              </w:rPr>
            </w:pPr>
            <w:r w:rsidRPr="00F7074C">
              <w:rPr>
                <w:rFonts w:ascii="Calibri" w:eastAsia="Times New Roman" w:hAnsi="Calibri" w:cs="Calibri"/>
                <w:b/>
                <w:bCs/>
                <w:color w:val="000000"/>
                <w:lang w:val="en-GB" w:eastAsia="en-GB"/>
              </w:rPr>
              <w:t>150,000.00</w:t>
            </w:r>
          </w:p>
        </w:tc>
        <w:tc>
          <w:tcPr>
            <w:tcW w:w="1291" w:type="dxa"/>
            <w:hideMark/>
          </w:tcPr>
          <w:p w14:paraId="507148F7" w14:textId="77777777" w:rsidR="00F7074C" w:rsidRPr="00F7074C" w:rsidRDefault="00F7074C" w:rsidP="00F707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GB" w:eastAsia="en-GB"/>
              </w:rPr>
            </w:pPr>
            <w:r w:rsidRPr="00F7074C">
              <w:rPr>
                <w:rFonts w:ascii="Calibri" w:eastAsia="Times New Roman" w:hAnsi="Calibri" w:cs="Calibri"/>
                <w:b/>
                <w:bCs/>
                <w:color w:val="000000"/>
                <w:lang w:val="en-GB" w:eastAsia="en-GB"/>
              </w:rPr>
              <w:t>$50</w:t>
            </w:r>
          </w:p>
        </w:tc>
        <w:tc>
          <w:tcPr>
            <w:tcW w:w="1947" w:type="dxa"/>
            <w:hideMark/>
          </w:tcPr>
          <w:p w14:paraId="250910A9" w14:textId="77777777" w:rsidR="00F7074C" w:rsidRPr="00F7074C" w:rsidRDefault="00F7074C" w:rsidP="00F707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GB" w:eastAsia="en-GB"/>
              </w:rPr>
            </w:pPr>
            <w:r w:rsidRPr="00F7074C">
              <w:rPr>
                <w:rFonts w:ascii="Calibri" w:eastAsia="Times New Roman" w:hAnsi="Calibri" w:cs="Calibri"/>
                <w:b/>
                <w:bCs/>
                <w:color w:val="000000"/>
                <w:lang w:val="en-GB" w:eastAsia="en-GB"/>
              </w:rPr>
              <w:t>$7,500,000</w:t>
            </w:r>
          </w:p>
        </w:tc>
      </w:tr>
      <w:tr w:rsidR="00F7074C" w:rsidRPr="00F7074C" w14:paraId="03172A50" w14:textId="77777777" w:rsidTr="005830F8">
        <w:trPr>
          <w:cnfStyle w:val="000000100000" w:firstRow="0" w:lastRow="0" w:firstColumn="0" w:lastColumn="0" w:oddVBand="0" w:evenVBand="0" w:oddHBand="1" w:evenHBand="0" w:firstRowFirstColumn="0" w:firstRowLastColumn="0" w:lastRowFirstColumn="0" w:lastRowLastColumn="0"/>
          <w:trHeight w:val="492"/>
          <w:jc w:val="center"/>
        </w:trPr>
        <w:tc>
          <w:tcPr>
            <w:cnfStyle w:val="001000000000" w:firstRow="0" w:lastRow="0" w:firstColumn="1" w:lastColumn="0" w:oddVBand="0" w:evenVBand="0" w:oddHBand="0" w:evenHBand="0" w:firstRowFirstColumn="0" w:firstRowLastColumn="0" w:lastRowFirstColumn="0" w:lastRowLastColumn="0"/>
            <w:tcW w:w="4005" w:type="dxa"/>
            <w:hideMark/>
          </w:tcPr>
          <w:p w14:paraId="55A9EE53" w14:textId="77777777" w:rsidR="00F7074C" w:rsidRPr="00F7074C" w:rsidRDefault="00F7074C" w:rsidP="00F7074C">
            <w:pPr>
              <w:jc w:val="center"/>
              <w:rPr>
                <w:rFonts w:ascii="Calibri" w:eastAsia="Times New Roman" w:hAnsi="Calibri" w:cs="Calibri"/>
                <w:color w:val="000000"/>
                <w:lang w:val="en-GB" w:eastAsia="en-GB"/>
              </w:rPr>
            </w:pPr>
            <w:r w:rsidRPr="00F7074C">
              <w:rPr>
                <w:rFonts w:ascii="Calibri" w:eastAsia="Times New Roman" w:hAnsi="Calibri" w:cs="Calibri"/>
                <w:color w:val="000000"/>
                <w:lang w:val="en-GB" w:eastAsia="en-GB"/>
              </w:rPr>
              <w:t>Service Connection Lite Poles</w:t>
            </w:r>
          </w:p>
        </w:tc>
        <w:tc>
          <w:tcPr>
            <w:tcW w:w="1649" w:type="dxa"/>
            <w:hideMark/>
          </w:tcPr>
          <w:p w14:paraId="7328C575" w14:textId="77777777" w:rsidR="00F7074C" w:rsidRPr="00F7074C" w:rsidRDefault="00F7074C" w:rsidP="00F707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GB" w:eastAsia="en-GB"/>
              </w:rPr>
            </w:pPr>
            <w:r w:rsidRPr="00F7074C">
              <w:rPr>
                <w:rFonts w:ascii="Calibri" w:eastAsia="Times New Roman" w:hAnsi="Calibri" w:cs="Calibri"/>
                <w:b/>
                <w:bCs/>
                <w:color w:val="000000"/>
                <w:lang w:val="en-GB" w:eastAsia="en-GB"/>
              </w:rPr>
              <w:t>100,000.00</w:t>
            </w:r>
          </w:p>
        </w:tc>
        <w:tc>
          <w:tcPr>
            <w:tcW w:w="1291" w:type="dxa"/>
            <w:hideMark/>
          </w:tcPr>
          <w:p w14:paraId="7E2C1B80" w14:textId="77777777" w:rsidR="00F7074C" w:rsidRPr="00F7074C" w:rsidRDefault="00F7074C" w:rsidP="00F707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GB" w:eastAsia="en-GB"/>
              </w:rPr>
            </w:pPr>
            <w:r w:rsidRPr="00F7074C">
              <w:rPr>
                <w:rFonts w:ascii="Calibri" w:eastAsia="Times New Roman" w:hAnsi="Calibri" w:cs="Calibri"/>
                <w:b/>
                <w:bCs/>
                <w:color w:val="000000"/>
                <w:lang w:val="en-GB" w:eastAsia="en-GB"/>
              </w:rPr>
              <w:t>$120</w:t>
            </w:r>
          </w:p>
        </w:tc>
        <w:tc>
          <w:tcPr>
            <w:tcW w:w="1947" w:type="dxa"/>
            <w:hideMark/>
          </w:tcPr>
          <w:p w14:paraId="7D280365" w14:textId="77777777" w:rsidR="00F7074C" w:rsidRPr="00F7074C" w:rsidRDefault="00F7074C" w:rsidP="00F707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GB" w:eastAsia="en-GB"/>
              </w:rPr>
            </w:pPr>
            <w:r w:rsidRPr="00F7074C">
              <w:rPr>
                <w:rFonts w:ascii="Calibri" w:eastAsia="Times New Roman" w:hAnsi="Calibri" w:cs="Calibri"/>
                <w:b/>
                <w:bCs/>
                <w:color w:val="000000"/>
                <w:lang w:val="en-GB" w:eastAsia="en-GB"/>
              </w:rPr>
              <w:t>$12,000,000</w:t>
            </w:r>
          </w:p>
        </w:tc>
      </w:tr>
      <w:tr w:rsidR="00F7074C" w:rsidRPr="00F7074C" w14:paraId="39023146" w14:textId="77777777" w:rsidTr="005830F8">
        <w:trPr>
          <w:trHeight w:val="492"/>
          <w:jc w:val="center"/>
        </w:trPr>
        <w:tc>
          <w:tcPr>
            <w:cnfStyle w:val="001000000000" w:firstRow="0" w:lastRow="0" w:firstColumn="1" w:lastColumn="0" w:oddVBand="0" w:evenVBand="0" w:oddHBand="0" w:evenHBand="0" w:firstRowFirstColumn="0" w:firstRowLastColumn="0" w:lastRowFirstColumn="0" w:lastRowLastColumn="0"/>
            <w:tcW w:w="4005" w:type="dxa"/>
            <w:hideMark/>
          </w:tcPr>
          <w:p w14:paraId="2ABEF2D7" w14:textId="77777777" w:rsidR="00F7074C" w:rsidRPr="00F7074C" w:rsidRDefault="00F7074C" w:rsidP="00F7074C">
            <w:pPr>
              <w:jc w:val="center"/>
              <w:rPr>
                <w:rFonts w:ascii="Calibri" w:eastAsia="Times New Roman" w:hAnsi="Calibri" w:cs="Calibri"/>
                <w:color w:val="000000"/>
                <w:lang w:val="en-GB" w:eastAsia="en-GB"/>
              </w:rPr>
            </w:pPr>
            <w:r w:rsidRPr="00F7074C">
              <w:rPr>
                <w:rFonts w:ascii="Calibri" w:eastAsia="Times New Roman" w:hAnsi="Calibri" w:cs="Calibri"/>
                <w:color w:val="000000"/>
                <w:lang w:val="en-GB" w:eastAsia="en-GB"/>
              </w:rPr>
              <w:t>LV lines - km</w:t>
            </w:r>
          </w:p>
        </w:tc>
        <w:tc>
          <w:tcPr>
            <w:tcW w:w="1649" w:type="dxa"/>
            <w:hideMark/>
          </w:tcPr>
          <w:p w14:paraId="7A76E949" w14:textId="77777777" w:rsidR="00F7074C" w:rsidRPr="00F7074C" w:rsidRDefault="00F7074C" w:rsidP="00F707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GB" w:eastAsia="en-GB"/>
              </w:rPr>
            </w:pPr>
            <w:r w:rsidRPr="00F7074C">
              <w:rPr>
                <w:rFonts w:ascii="Calibri" w:eastAsia="Times New Roman" w:hAnsi="Calibri" w:cs="Calibri"/>
                <w:b/>
                <w:bCs/>
                <w:color w:val="000000"/>
                <w:lang w:val="en-GB" w:eastAsia="en-GB"/>
              </w:rPr>
              <w:t>6,200.00</w:t>
            </w:r>
          </w:p>
        </w:tc>
        <w:tc>
          <w:tcPr>
            <w:tcW w:w="1291" w:type="dxa"/>
            <w:hideMark/>
          </w:tcPr>
          <w:p w14:paraId="3EE09BCB" w14:textId="77777777" w:rsidR="00F7074C" w:rsidRPr="00F7074C" w:rsidRDefault="00F7074C" w:rsidP="00F707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GB" w:eastAsia="en-GB"/>
              </w:rPr>
            </w:pPr>
            <w:r w:rsidRPr="00F7074C">
              <w:rPr>
                <w:rFonts w:ascii="Calibri" w:eastAsia="Times New Roman" w:hAnsi="Calibri" w:cs="Calibri"/>
                <w:b/>
                <w:bCs/>
                <w:color w:val="000000"/>
                <w:lang w:val="en-GB" w:eastAsia="en-GB"/>
              </w:rPr>
              <w:t>$10,000</w:t>
            </w:r>
          </w:p>
        </w:tc>
        <w:tc>
          <w:tcPr>
            <w:tcW w:w="1947" w:type="dxa"/>
            <w:hideMark/>
          </w:tcPr>
          <w:p w14:paraId="49C58167" w14:textId="77777777" w:rsidR="00F7074C" w:rsidRPr="00F7074C" w:rsidRDefault="00F7074C" w:rsidP="00F707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GB" w:eastAsia="en-GB"/>
              </w:rPr>
            </w:pPr>
            <w:r w:rsidRPr="00F7074C">
              <w:rPr>
                <w:rFonts w:ascii="Calibri" w:eastAsia="Times New Roman" w:hAnsi="Calibri" w:cs="Calibri"/>
                <w:b/>
                <w:bCs/>
                <w:color w:val="000000"/>
                <w:lang w:val="en-GB" w:eastAsia="en-GB"/>
              </w:rPr>
              <w:t>$62,000,000</w:t>
            </w:r>
          </w:p>
        </w:tc>
      </w:tr>
      <w:tr w:rsidR="00F7074C" w:rsidRPr="00F7074C" w14:paraId="0E06435B" w14:textId="77777777" w:rsidTr="005830F8">
        <w:trPr>
          <w:cnfStyle w:val="000000100000" w:firstRow="0" w:lastRow="0" w:firstColumn="0" w:lastColumn="0" w:oddVBand="0" w:evenVBand="0" w:oddHBand="1" w:evenHBand="0" w:firstRowFirstColumn="0" w:firstRowLastColumn="0" w:lastRowFirstColumn="0" w:lastRowLastColumn="0"/>
          <w:trHeight w:val="492"/>
          <w:jc w:val="center"/>
        </w:trPr>
        <w:tc>
          <w:tcPr>
            <w:cnfStyle w:val="001000000000" w:firstRow="0" w:lastRow="0" w:firstColumn="1" w:lastColumn="0" w:oddVBand="0" w:evenVBand="0" w:oddHBand="0" w:evenHBand="0" w:firstRowFirstColumn="0" w:firstRowLastColumn="0" w:lastRowFirstColumn="0" w:lastRowLastColumn="0"/>
            <w:tcW w:w="4005" w:type="dxa"/>
            <w:hideMark/>
          </w:tcPr>
          <w:p w14:paraId="242910A4" w14:textId="77777777" w:rsidR="00F7074C" w:rsidRPr="00F7074C" w:rsidRDefault="00F7074C" w:rsidP="00F7074C">
            <w:pPr>
              <w:jc w:val="center"/>
              <w:rPr>
                <w:rFonts w:ascii="Calibri" w:eastAsia="Times New Roman" w:hAnsi="Calibri" w:cs="Calibri"/>
                <w:color w:val="000000"/>
                <w:lang w:val="en-GB" w:eastAsia="en-GB"/>
              </w:rPr>
            </w:pPr>
            <w:r w:rsidRPr="00F7074C">
              <w:rPr>
                <w:rFonts w:ascii="Calibri" w:eastAsia="Times New Roman" w:hAnsi="Calibri" w:cs="Calibri"/>
                <w:color w:val="000000"/>
                <w:lang w:val="en-GB" w:eastAsia="en-GB"/>
              </w:rPr>
              <w:t>Transformer Installations</w:t>
            </w:r>
          </w:p>
        </w:tc>
        <w:tc>
          <w:tcPr>
            <w:tcW w:w="1649" w:type="dxa"/>
            <w:hideMark/>
          </w:tcPr>
          <w:p w14:paraId="56701E9F" w14:textId="77777777" w:rsidR="00F7074C" w:rsidRPr="00F7074C" w:rsidRDefault="00F7074C" w:rsidP="00F707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GB" w:eastAsia="en-GB"/>
              </w:rPr>
            </w:pPr>
            <w:r w:rsidRPr="00F7074C">
              <w:rPr>
                <w:rFonts w:ascii="Calibri" w:eastAsia="Times New Roman" w:hAnsi="Calibri" w:cs="Calibri"/>
                <w:b/>
                <w:bCs/>
                <w:color w:val="000000"/>
                <w:lang w:val="en-GB" w:eastAsia="en-GB"/>
              </w:rPr>
              <w:t>1,500.00</w:t>
            </w:r>
          </w:p>
        </w:tc>
        <w:tc>
          <w:tcPr>
            <w:tcW w:w="1291" w:type="dxa"/>
            <w:hideMark/>
          </w:tcPr>
          <w:p w14:paraId="265398B3" w14:textId="77777777" w:rsidR="00F7074C" w:rsidRPr="00F7074C" w:rsidRDefault="00F7074C" w:rsidP="00F707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GB" w:eastAsia="en-GB"/>
              </w:rPr>
            </w:pPr>
            <w:r w:rsidRPr="00F7074C">
              <w:rPr>
                <w:rFonts w:ascii="Calibri" w:eastAsia="Times New Roman" w:hAnsi="Calibri" w:cs="Calibri"/>
                <w:b/>
                <w:bCs/>
                <w:color w:val="000000"/>
                <w:lang w:val="en-GB" w:eastAsia="en-GB"/>
              </w:rPr>
              <w:t>$12,000</w:t>
            </w:r>
          </w:p>
        </w:tc>
        <w:tc>
          <w:tcPr>
            <w:tcW w:w="1947" w:type="dxa"/>
            <w:hideMark/>
          </w:tcPr>
          <w:p w14:paraId="7015C3D2" w14:textId="77777777" w:rsidR="00F7074C" w:rsidRPr="00F7074C" w:rsidRDefault="00F7074C" w:rsidP="00F707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GB" w:eastAsia="en-GB"/>
              </w:rPr>
            </w:pPr>
            <w:r w:rsidRPr="00F7074C">
              <w:rPr>
                <w:rFonts w:ascii="Calibri" w:eastAsia="Times New Roman" w:hAnsi="Calibri" w:cs="Calibri"/>
                <w:b/>
                <w:bCs/>
                <w:color w:val="000000"/>
                <w:lang w:val="en-GB" w:eastAsia="en-GB"/>
              </w:rPr>
              <w:t>$18,000,000</w:t>
            </w:r>
          </w:p>
        </w:tc>
      </w:tr>
      <w:tr w:rsidR="00F7074C" w:rsidRPr="00F7074C" w14:paraId="3725750D" w14:textId="77777777" w:rsidTr="005830F8">
        <w:trPr>
          <w:trHeight w:val="492"/>
          <w:jc w:val="center"/>
        </w:trPr>
        <w:tc>
          <w:tcPr>
            <w:cnfStyle w:val="001000000000" w:firstRow="0" w:lastRow="0" w:firstColumn="1" w:lastColumn="0" w:oddVBand="0" w:evenVBand="0" w:oddHBand="0" w:evenHBand="0" w:firstRowFirstColumn="0" w:firstRowLastColumn="0" w:lastRowFirstColumn="0" w:lastRowLastColumn="0"/>
            <w:tcW w:w="4005" w:type="dxa"/>
            <w:hideMark/>
          </w:tcPr>
          <w:p w14:paraId="2152BB79" w14:textId="77777777" w:rsidR="00F7074C" w:rsidRPr="00F7074C" w:rsidRDefault="00F7074C" w:rsidP="00F7074C">
            <w:pPr>
              <w:jc w:val="center"/>
              <w:rPr>
                <w:rFonts w:ascii="Calibri" w:eastAsia="Times New Roman" w:hAnsi="Calibri" w:cs="Calibri"/>
                <w:color w:val="000000"/>
                <w:lang w:val="en-GB" w:eastAsia="en-GB"/>
              </w:rPr>
            </w:pPr>
            <w:r w:rsidRPr="00F7074C">
              <w:rPr>
                <w:rFonts w:ascii="Calibri" w:eastAsia="Times New Roman" w:hAnsi="Calibri" w:cs="Calibri"/>
                <w:color w:val="000000"/>
                <w:lang w:val="en-GB" w:eastAsia="en-GB"/>
              </w:rPr>
              <w:t>MV lines -</w:t>
            </w:r>
            <w:proofErr w:type="spellStart"/>
            <w:r w:rsidRPr="00F7074C">
              <w:rPr>
                <w:rFonts w:ascii="Calibri" w:eastAsia="Times New Roman" w:hAnsi="Calibri" w:cs="Calibri"/>
                <w:color w:val="000000"/>
                <w:lang w:val="en-GB" w:eastAsia="en-GB"/>
              </w:rPr>
              <w:t>kilometers</w:t>
            </w:r>
            <w:proofErr w:type="spellEnd"/>
          </w:p>
        </w:tc>
        <w:tc>
          <w:tcPr>
            <w:tcW w:w="1649" w:type="dxa"/>
            <w:hideMark/>
          </w:tcPr>
          <w:p w14:paraId="7DEEDA62" w14:textId="77777777" w:rsidR="00F7074C" w:rsidRPr="00F7074C" w:rsidRDefault="00F7074C" w:rsidP="00F707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GB" w:eastAsia="en-GB"/>
              </w:rPr>
            </w:pPr>
            <w:r w:rsidRPr="00F7074C">
              <w:rPr>
                <w:rFonts w:ascii="Calibri" w:eastAsia="Times New Roman" w:hAnsi="Calibri" w:cs="Calibri"/>
                <w:b/>
                <w:bCs/>
                <w:color w:val="000000"/>
                <w:lang w:val="en-GB" w:eastAsia="en-GB"/>
              </w:rPr>
              <w:t>800.00</w:t>
            </w:r>
          </w:p>
        </w:tc>
        <w:tc>
          <w:tcPr>
            <w:tcW w:w="1291" w:type="dxa"/>
            <w:hideMark/>
          </w:tcPr>
          <w:p w14:paraId="4F3CE21A" w14:textId="77777777" w:rsidR="00F7074C" w:rsidRPr="00F7074C" w:rsidRDefault="00F7074C" w:rsidP="00F707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GB" w:eastAsia="en-GB"/>
              </w:rPr>
            </w:pPr>
            <w:r w:rsidRPr="00F7074C">
              <w:rPr>
                <w:rFonts w:ascii="Calibri" w:eastAsia="Times New Roman" w:hAnsi="Calibri" w:cs="Calibri"/>
                <w:b/>
                <w:bCs/>
                <w:color w:val="000000"/>
                <w:lang w:val="en-GB" w:eastAsia="en-GB"/>
              </w:rPr>
              <w:t>$25,000</w:t>
            </w:r>
          </w:p>
        </w:tc>
        <w:tc>
          <w:tcPr>
            <w:tcW w:w="1947" w:type="dxa"/>
            <w:hideMark/>
          </w:tcPr>
          <w:p w14:paraId="6DBAED10" w14:textId="77777777" w:rsidR="00F7074C" w:rsidRPr="00F7074C" w:rsidRDefault="00F7074C" w:rsidP="00F707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GB" w:eastAsia="en-GB"/>
              </w:rPr>
            </w:pPr>
            <w:r w:rsidRPr="00F7074C">
              <w:rPr>
                <w:rFonts w:ascii="Calibri" w:eastAsia="Times New Roman" w:hAnsi="Calibri" w:cs="Calibri"/>
                <w:b/>
                <w:bCs/>
                <w:color w:val="000000"/>
                <w:lang w:val="en-GB" w:eastAsia="en-GB"/>
              </w:rPr>
              <w:t>$20,000,000</w:t>
            </w:r>
          </w:p>
        </w:tc>
      </w:tr>
      <w:tr w:rsidR="00F7074C" w:rsidRPr="00F7074C" w14:paraId="3D3267E4" w14:textId="77777777" w:rsidTr="005830F8">
        <w:trPr>
          <w:cnfStyle w:val="000000100000" w:firstRow="0" w:lastRow="0" w:firstColumn="0" w:lastColumn="0" w:oddVBand="0" w:evenVBand="0" w:oddHBand="1" w:evenHBand="0" w:firstRowFirstColumn="0" w:firstRowLastColumn="0" w:lastRowFirstColumn="0" w:lastRowLastColumn="0"/>
          <w:trHeight w:val="492"/>
          <w:jc w:val="center"/>
        </w:trPr>
        <w:tc>
          <w:tcPr>
            <w:cnfStyle w:val="001000000000" w:firstRow="0" w:lastRow="0" w:firstColumn="1" w:lastColumn="0" w:oddVBand="0" w:evenVBand="0" w:oddHBand="0" w:evenHBand="0" w:firstRowFirstColumn="0" w:firstRowLastColumn="0" w:lastRowFirstColumn="0" w:lastRowLastColumn="0"/>
            <w:tcW w:w="4005" w:type="dxa"/>
            <w:hideMark/>
          </w:tcPr>
          <w:p w14:paraId="33083F7A" w14:textId="77777777" w:rsidR="00F7074C" w:rsidRPr="00F7074C" w:rsidRDefault="00F7074C" w:rsidP="00F7074C">
            <w:pPr>
              <w:jc w:val="center"/>
              <w:rPr>
                <w:rFonts w:ascii="Calibri" w:eastAsia="Times New Roman" w:hAnsi="Calibri" w:cs="Calibri"/>
                <w:color w:val="000000"/>
                <w:lang w:val="en-GB" w:eastAsia="en-GB"/>
              </w:rPr>
            </w:pPr>
            <w:r w:rsidRPr="00F7074C">
              <w:rPr>
                <w:rFonts w:ascii="Calibri" w:eastAsia="Times New Roman" w:hAnsi="Calibri" w:cs="Calibri"/>
                <w:color w:val="000000"/>
                <w:lang w:val="en-GB" w:eastAsia="en-GB"/>
              </w:rPr>
              <w:t>Streetlights</w:t>
            </w:r>
          </w:p>
        </w:tc>
        <w:tc>
          <w:tcPr>
            <w:tcW w:w="1649" w:type="dxa"/>
            <w:hideMark/>
          </w:tcPr>
          <w:p w14:paraId="5E77F74C" w14:textId="77777777" w:rsidR="00F7074C" w:rsidRPr="00F7074C" w:rsidRDefault="00F7074C" w:rsidP="00F707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GB" w:eastAsia="en-GB"/>
              </w:rPr>
            </w:pPr>
            <w:r w:rsidRPr="00F7074C">
              <w:rPr>
                <w:rFonts w:ascii="Calibri" w:eastAsia="Times New Roman" w:hAnsi="Calibri" w:cs="Calibri"/>
                <w:b/>
                <w:bCs/>
                <w:color w:val="000000"/>
                <w:lang w:val="en-GB" w:eastAsia="en-GB"/>
              </w:rPr>
              <w:t>125,000.00</w:t>
            </w:r>
          </w:p>
        </w:tc>
        <w:tc>
          <w:tcPr>
            <w:tcW w:w="1291" w:type="dxa"/>
            <w:hideMark/>
          </w:tcPr>
          <w:p w14:paraId="3B56FF7E" w14:textId="77777777" w:rsidR="00F7074C" w:rsidRPr="00F7074C" w:rsidRDefault="00F7074C" w:rsidP="00F707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GB" w:eastAsia="en-GB"/>
              </w:rPr>
            </w:pPr>
            <w:r w:rsidRPr="00F7074C">
              <w:rPr>
                <w:rFonts w:ascii="Calibri" w:eastAsia="Times New Roman" w:hAnsi="Calibri" w:cs="Calibri"/>
                <w:b/>
                <w:bCs/>
                <w:color w:val="000000"/>
                <w:lang w:val="en-GB" w:eastAsia="en-GB"/>
              </w:rPr>
              <w:t>$80</w:t>
            </w:r>
          </w:p>
        </w:tc>
        <w:tc>
          <w:tcPr>
            <w:tcW w:w="1947" w:type="dxa"/>
            <w:hideMark/>
          </w:tcPr>
          <w:p w14:paraId="1394594C" w14:textId="77777777" w:rsidR="00F7074C" w:rsidRPr="00F7074C" w:rsidRDefault="00F7074C" w:rsidP="00F707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GB" w:eastAsia="en-GB"/>
              </w:rPr>
            </w:pPr>
            <w:r w:rsidRPr="00F7074C">
              <w:rPr>
                <w:rFonts w:ascii="Calibri" w:eastAsia="Times New Roman" w:hAnsi="Calibri" w:cs="Calibri"/>
                <w:b/>
                <w:bCs/>
                <w:color w:val="000000"/>
                <w:lang w:val="en-GB" w:eastAsia="en-GB"/>
              </w:rPr>
              <w:t>$10,000,000</w:t>
            </w:r>
          </w:p>
        </w:tc>
      </w:tr>
      <w:tr w:rsidR="00F7074C" w:rsidRPr="00F7074C" w14:paraId="42FF8A9C" w14:textId="77777777" w:rsidTr="005830F8">
        <w:trPr>
          <w:trHeight w:val="492"/>
          <w:jc w:val="center"/>
        </w:trPr>
        <w:tc>
          <w:tcPr>
            <w:cnfStyle w:val="001000000000" w:firstRow="0" w:lastRow="0" w:firstColumn="1" w:lastColumn="0" w:oddVBand="0" w:evenVBand="0" w:oddHBand="0" w:evenHBand="0" w:firstRowFirstColumn="0" w:firstRowLastColumn="0" w:lastRowFirstColumn="0" w:lastRowLastColumn="0"/>
            <w:tcW w:w="4005" w:type="dxa"/>
            <w:hideMark/>
          </w:tcPr>
          <w:p w14:paraId="51C860E8" w14:textId="77777777" w:rsidR="00F7074C" w:rsidRPr="00F7074C" w:rsidRDefault="00F7074C" w:rsidP="00F7074C">
            <w:pPr>
              <w:jc w:val="center"/>
              <w:rPr>
                <w:rFonts w:ascii="Calibri" w:eastAsia="Times New Roman" w:hAnsi="Calibri" w:cs="Calibri"/>
                <w:color w:val="000000"/>
                <w:lang w:val="en-GB" w:eastAsia="en-GB"/>
              </w:rPr>
            </w:pPr>
            <w:r w:rsidRPr="00F7074C">
              <w:rPr>
                <w:rFonts w:ascii="Calibri" w:eastAsia="Times New Roman" w:hAnsi="Calibri" w:cs="Calibri"/>
                <w:color w:val="000000"/>
                <w:lang w:val="en-GB" w:eastAsia="en-GB"/>
              </w:rPr>
              <w:t>Others</w:t>
            </w:r>
          </w:p>
        </w:tc>
        <w:tc>
          <w:tcPr>
            <w:tcW w:w="1649" w:type="dxa"/>
            <w:hideMark/>
          </w:tcPr>
          <w:p w14:paraId="0F3A7E46" w14:textId="77777777" w:rsidR="00F7074C" w:rsidRPr="00F7074C" w:rsidRDefault="00F7074C" w:rsidP="00F707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GB" w:eastAsia="en-GB"/>
              </w:rPr>
            </w:pPr>
            <w:r w:rsidRPr="00F7074C">
              <w:rPr>
                <w:rFonts w:ascii="Calibri" w:eastAsia="Times New Roman" w:hAnsi="Calibri" w:cs="Calibri"/>
                <w:b/>
                <w:bCs/>
                <w:color w:val="000000"/>
                <w:lang w:val="en-GB" w:eastAsia="en-GB"/>
              </w:rPr>
              <w:t> </w:t>
            </w:r>
          </w:p>
        </w:tc>
        <w:tc>
          <w:tcPr>
            <w:tcW w:w="1291" w:type="dxa"/>
            <w:hideMark/>
          </w:tcPr>
          <w:p w14:paraId="520AFCAD" w14:textId="77777777" w:rsidR="00F7074C" w:rsidRPr="00F7074C" w:rsidRDefault="00F7074C" w:rsidP="00F707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GB" w:eastAsia="en-GB"/>
              </w:rPr>
            </w:pPr>
            <w:r w:rsidRPr="00F7074C">
              <w:rPr>
                <w:rFonts w:ascii="Calibri" w:eastAsia="Times New Roman" w:hAnsi="Calibri" w:cs="Calibri"/>
                <w:b/>
                <w:bCs/>
                <w:color w:val="000000"/>
                <w:lang w:val="en-GB" w:eastAsia="en-GB"/>
              </w:rPr>
              <w:t> </w:t>
            </w:r>
          </w:p>
        </w:tc>
        <w:tc>
          <w:tcPr>
            <w:tcW w:w="1947" w:type="dxa"/>
            <w:hideMark/>
          </w:tcPr>
          <w:p w14:paraId="0A8C4A00" w14:textId="77777777" w:rsidR="00F7074C" w:rsidRPr="00F7074C" w:rsidRDefault="00F7074C" w:rsidP="00F707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GB" w:eastAsia="en-GB"/>
              </w:rPr>
            </w:pPr>
            <w:r w:rsidRPr="00F7074C">
              <w:rPr>
                <w:rFonts w:ascii="Calibri" w:eastAsia="Times New Roman" w:hAnsi="Calibri" w:cs="Calibri"/>
                <w:b/>
                <w:bCs/>
                <w:color w:val="000000"/>
                <w:lang w:val="en-GB" w:eastAsia="en-GB"/>
              </w:rPr>
              <w:t> </w:t>
            </w:r>
          </w:p>
        </w:tc>
      </w:tr>
      <w:tr w:rsidR="00F7074C" w:rsidRPr="00F7074C" w14:paraId="26BF0985" w14:textId="77777777" w:rsidTr="005830F8">
        <w:trPr>
          <w:cnfStyle w:val="000000100000" w:firstRow="0" w:lastRow="0" w:firstColumn="0" w:lastColumn="0" w:oddVBand="0" w:evenVBand="0" w:oddHBand="1" w:evenHBand="0" w:firstRowFirstColumn="0" w:firstRowLastColumn="0" w:lastRowFirstColumn="0" w:lastRowLastColumn="0"/>
          <w:trHeight w:val="492"/>
          <w:jc w:val="center"/>
        </w:trPr>
        <w:tc>
          <w:tcPr>
            <w:cnfStyle w:val="001000000000" w:firstRow="0" w:lastRow="0" w:firstColumn="1" w:lastColumn="0" w:oddVBand="0" w:evenVBand="0" w:oddHBand="0" w:evenHBand="0" w:firstRowFirstColumn="0" w:firstRowLastColumn="0" w:lastRowFirstColumn="0" w:lastRowLastColumn="0"/>
            <w:tcW w:w="4005" w:type="dxa"/>
            <w:hideMark/>
          </w:tcPr>
          <w:p w14:paraId="60756DBE" w14:textId="77777777" w:rsidR="00F7074C" w:rsidRPr="00F7074C" w:rsidRDefault="00F7074C" w:rsidP="00F7074C">
            <w:pPr>
              <w:jc w:val="center"/>
              <w:rPr>
                <w:rFonts w:ascii="Calibri" w:eastAsia="Times New Roman" w:hAnsi="Calibri" w:cs="Calibri"/>
                <w:color w:val="000000"/>
                <w:lang w:val="en-GB" w:eastAsia="en-GB"/>
              </w:rPr>
            </w:pPr>
            <w:r w:rsidRPr="00F7074C">
              <w:rPr>
                <w:rFonts w:ascii="Calibri" w:eastAsia="Times New Roman" w:hAnsi="Calibri" w:cs="Calibri"/>
                <w:color w:val="000000"/>
                <w:lang w:val="en-GB" w:eastAsia="en-GB"/>
              </w:rPr>
              <w:t xml:space="preserve">Total Cost  </w:t>
            </w:r>
          </w:p>
        </w:tc>
        <w:tc>
          <w:tcPr>
            <w:tcW w:w="1649" w:type="dxa"/>
            <w:hideMark/>
          </w:tcPr>
          <w:p w14:paraId="14000185" w14:textId="77777777" w:rsidR="00F7074C" w:rsidRPr="00F7074C" w:rsidRDefault="00F7074C" w:rsidP="00F707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GB" w:eastAsia="en-GB"/>
              </w:rPr>
            </w:pPr>
            <w:r w:rsidRPr="00F7074C">
              <w:rPr>
                <w:rFonts w:ascii="Calibri" w:eastAsia="Times New Roman" w:hAnsi="Calibri" w:cs="Calibri"/>
                <w:b/>
                <w:bCs/>
                <w:color w:val="000000"/>
                <w:lang w:val="en-GB" w:eastAsia="en-GB"/>
              </w:rPr>
              <w:t> </w:t>
            </w:r>
          </w:p>
        </w:tc>
        <w:tc>
          <w:tcPr>
            <w:tcW w:w="1291" w:type="dxa"/>
            <w:hideMark/>
          </w:tcPr>
          <w:p w14:paraId="5F470995" w14:textId="77777777" w:rsidR="00F7074C" w:rsidRPr="00F7074C" w:rsidRDefault="00F7074C" w:rsidP="00F707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GB" w:eastAsia="en-GB"/>
              </w:rPr>
            </w:pPr>
            <w:r w:rsidRPr="00F7074C">
              <w:rPr>
                <w:rFonts w:ascii="Calibri" w:eastAsia="Times New Roman" w:hAnsi="Calibri" w:cs="Calibri"/>
                <w:b/>
                <w:bCs/>
                <w:color w:val="000000"/>
                <w:lang w:val="en-GB" w:eastAsia="en-GB"/>
              </w:rPr>
              <w:t> </w:t>
            </w:r>
          </w:p>
        </w:tc>
        <w:tc>
          <w:tcPr>
            <w:tcW w:w="1947" w:type="dxa"/>
            <w:hideMark/>
          </w:tcPr>
          <w:p w14:paraId="434770CC" w14:textId="77777777" w:rsidR="00F7074C" w:rsidRPr="00F7074C" w:rsidRDefault="00F7074C" w:rsidP="00F707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GB" w:eastAsia="en-GB"/>
              </w:rPr>
            </w:pPr>
            <w:r w:rsidRPr="00F7074C">
              <w:rPr>
                <w:rFonts w:ascii="Calibri" w:eastAsia="Times New Roman" w:hAnsi="Calibri" w:cs="Calibri"/>
                <w:b/>
                <w:bCs/>
                <w:color w:val="000000"/>
                <w:lang w:val="en-GB" w:eastAsia="en-GB"/>
              </w:rPr>
              <w:t>$204,500,000</w:t>
            </w:r>
          </w:p>
        </w:tc>
      </w:tr>
      <w:tr w:rsidR="00F7074C" w:rsidRPr="00F7074C" w14:paraId="34BABDBA" w14:textId="77777777" w:rsidTr="005830F8">
        <w:trPr>
          <w:trHeight w:val="492"/>
          <w:jc w:val="center"/>
        </w:trPr>
        <w:tc>
          <w:tcPr>
            <w:cnfStyle w:val="001000000000" w:firstRow="0" w:lastRow="0" w:firstColumn="1" w:lastColumn="0" w:oddVBand="0" w:evenVBand="0" w:oddHBand="0" w:evenHBand="0" w:firstRowFirstColumn="0" w:firstRowLastColumn="0" w:lastRowFirstColumn="0" w:lastRowLastColumn="0"/>
            <w:tcW w:w="4005" w:type="dxa"/>
            <w:hideMark/>
          </w:tcPr>
          <w:p w14:paraId="09DCEAC4" w14:textId="77777777" w:rsidR="00F7074C" w:rsidRPr="00F7074C" w:rsidRDefault="00F7074C" w:rsidP="00F7074C">
            <w:pPr>
              <w:jc w:val="center"/>
              <w:rPr>
                <w:rFonts w:ascii="Calibri" w:eastAsia="Times New Roman" w:hAnsi="Calibri" w:cs="Calibri"/>
                <w:color w:val="000000"/>
                <w:lang w:val="en-GB" w:eastAsia="en-GB"/>
              </w:rPr>
            </w:pPr>
            <w:r w:rsidRPr="00F7074C">
              <w:rPr>
                <w:rFonts w:ascii="Calibri" w:eastAsia="Times New Roman" w:hAnsi="Calibri" w:cs="Calibri"/>
                <w:color w:val="000000"/>
                <w:lang w:val="en-GB" w:eastAsia="en-GB"/>
              </w:rPr>
              <w:t xml:space="preserve">Cost per connection </w:t>
            </w:r>
          </w:p>
        </w:tc>
        <w:tc>
          <w:tcPr>
            <w:tcW w:w="1649" w:type="dxa"/>
            <w:hideMark/>
          </w:tcPr>
          <w:p w14:paraId="7B27248F" w14:textId="77777777" w:rsidR="00F7074C" w:rsidRPr="00F7074C" w:rsidRDefault="00F7074C" w:rsidP="00F707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GB" w:eastAsia="en-GB"/>
              </w:rPr>
            </w:pPr>
            <w:r w:rsidRPr="00F7074C">
              <w:rPr>
                <w:rFonts w:ascii="Calibri" w:eastAsia="Times New Roman" w:hAnsi="Calibri" w:cs="Calibri"/>
                <w:b/>
                <w:bCs/>
                <w:color w:val="000000"/>
                <w:lang w:val="en-GB" w:eastAsia="en-GB"/>
              </w:rPr>
              <w:t> </w:t>
            </w:r>
          </w:p>
        </w:tc>
        <w:tc>
          <w:tcPr>
            <w:tcW w:w="1291" w:type="dxa"/>
            <w:hideMark/>
          </w:tcPr>
          <w:p w14:paraId="27B28D78" w14:textId="77777777" w:rsidR="00F7074C" w:rsidRPr="00F7074C" w:rsidRDefault="00F7074C" w:rsidP="00F707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GB" w:eastAsia="en-GB"/>
              </w:rPr>
            </w:pPr>
            <w:r w:rsidRPr="00F7074C">
              <w:rPr>
                <w:rFonts w:ascii="Calibri" w:eastAsia="Times New Roman" w:hAnsi="Calibri" w:cs="Calibri"/>
                <w:b/>
                <w:bCs/>
                <w:color w:val="000000"/>
                <w:lang w:val="en-GB" w:eastAsia="en-GB"/>
              </w:rPr>
              <w:t> </w:t>
            </w:r>
          </w:p>
        </w:tc>
        <w:tc>
          <w:tcPr>
            <w:tcW w:w="1947" w:type="dxa"/>
            <w:hideMark/>
          </w:tcPr>
          <w:p w14:paraId="07E9F077" w14:textId="77777777" w:rsidR="00F7074C" w:rsidRPr="00F7074C" w:rsidRDefault="00F7074C" w:rsidP="00F707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GB" w:eastAsia="en-GB"/>
              </w:rPr>
            </w:pPr>
            <w:r w:rsidRPr="00F7074C">
              <w:rPr>
                <w:rFonts w:ascii="Calibri" w:eastAsia="Times New Roman" w:hAnsi="Calibri" w:cs="Calibri"/>
                <w:b/>
                <w:bCs/>
                <w:color w:val="000000"/>
                <w:lang w:val="en-GB" w:eastAsia="en-GB"/>
              </w:rPr>
              <w:t>$409</w:t>
            </w:r>
          </w:p>
        </w:tc>
      </w:tr>
    </w:tbl>
    <w:p w14:paraId="67ADE395" w14:textId="77777777" w:rsidR="00F7074C" w:rsidRDefault="00F7074C" w:rsidP="00F7074C">
      <w:pPr>
        <w:jc w:val="center"/>
      </w:pPr>
    </w:p>
    <w:p w14:paraId="74F614EC" w14:textId="77777777" w:rsidR="00626A4E" w:rsidRDefault="005D03C2">
      <w:pPr>
        <w:pStyle w:val="Heading2"/>
      </w:pPr>
      <w:r>
        <w:t>8. APPLICATION CONTEXT</w:t>
      </w:r>
    </w:p>
    <w:p w14:paraId="1F8DA35D" w14:textId="77777777" w:rsidR="00626A4E" w:rsidRDefault="005D03C2">
      <w:r>
        <w:rPr>
          <w:sz w:val="24"/>
        </w:rPr>
        <w:t>The model is suited to early-stage planning and strategic decision-making, including national electrification programs, utility investment planning, donor-funded project preparation, EPC cost validation, and policy scenario analysis.</w:t>
      </w:r>
    </w:p>
    <w:p w14:paraId="17C0E38E" w14:textId="77777777" w:rsidR="00626A4E" w:rsidRDefault="005D03C2">
      <w:pPr>
        <w:pStyle w:val="Heading2"/>
      </w:pPr>
      <w:r>
        <w:t>9. TARGET USERS</w:t>
      </w:r>
    </w:p>
    <w:p w14:paraId="5DE67DF9" w14:textId="77777777" w:rsidR="00626A4E" w:rsidRDefault="005D03C2">
      <w:r>
        <w:rPr>
          <w:sz w:val="24"/>
        </w:rPr>
        <w:t>The primary users include ministries of energy, national utilities, rural electrification agencies, development finance institutions, and engineering consultants.</w:t>
      </w:r>
    </w:p>
    <w:p w14:paraId="6E7BACEB" w14:textId="77777777" w:rsidR="00626A4E" w:rsidRDefault="005D03C2">
      <w:pPr>
        <w:pStyle w:val="Heading2"/>
      </w:pPr>
      <w:r>
        <w:t>10. PRODUCT FORMAT AND USABILITY</w:t>
      </w:r>
    </w:p>
    <w:p w14:paraId="19A5B00E" w14:textId="77777777" w:rsidR="00626A4E" w:rsidRDefault="005D03C2">
      <w:r>
        <w:rPr>
          <w:sz w:val="24"/>
        </w:rPr>
        <w:t>The model is delivered in a structured Excel format, ensuring accessibility, transparency, and ease of customization. Inputs and outputs are clearly separated, and the calculation logic is fully visible.</w:t>
      </w:r>
    </w:p>
    <w:p w14:paraId="045FC628" w14:textId="77777777" w:rsidR="00626A4E" w:rsidRDefault="005D03C2">
      <w:pPr>
        <w:pStyle w:val="Heading2"/>
      </w:pPr>
      <w:r>
        <w:t>11. POSITION WITHIN THE NCEINGÉNIEURS SUITE</w:t>
      </w:r>
    </w:p>
    <w:p w14:paraId="6941A16E" w14:textId="77777777" w:rsidR="00626A4E" w:rsidRDefault="005D03C2">
      <w:r>
        <w:rPr>
          <w:sz w:val="24"/>
        </w:rPr>
        <w:t>The ABCDE Estimator serves as the front-end analytical engine within the broader modelling ecosystem, feeding into financial models, tariff analysis, GIS planning, and procurement structuring.</w:t>
      </w:r>
    </w:p>
    <w:p w14:paraId="15DADBF2" w14:textId="77777777" w:rsidR="00626A4E" w:rsidRDefault="005D03C2">
      <w:pPr>
        <w:pStyle w:val="Heading2"/>
      </w:pPr>
      <w:r>
        <w:t>12. COMMERCIAL APPROACH</w:t>
      </w:r>
    </w:p>
    <w:p w14:paraId="0834845F" w14:textId="77777777" w:rsidR="00626A4E" w:rsidRDefault="005D03C2">
      <w:r>
        <w:rPr>
          <w:sz w:val="24"/>
        </w:rPr>
        <w:t>The model is available in a tiered format, including an entry-level version and a fully licensed version, with optional customization and advisory support.</w:t>
      </w:r>
    </w:p>
    <w:p w14:paraId="61C6DF7D" w14:textId="77777777" w:rsidR="00626A4E" w:rsidRDefault="005D03C2">
      <w:pPr>
        <w:pStyle w:val="Heading2"/>
      </w:pPr>
      <w:r>
        <w:t>13. CLOSING STATEMENT</w:t>
      </w:r>
    </w:p>
    <w:p w14:paraId="2578BA58" w14:textId="77777777" w:rsidR="00626A4E" w:rsidRDefault="005D03C2">
      <w:r>
        <w:rPr>
          <w:sz w:val="24"/>
        </w:rPr>
        <w:t>Electrification is ultimately a function of design choices, spatial realities, and disciplined investment planning. This model makes those relationships explicit, measurable, and actionable.</w:t>
      </w:r>
    </w:p>
    <w:sectPr w:rsidR="00626A4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63112846">
    <w:abstractNumId w:val="8"/>
  </w:num>
  <w:num w:numId="2" w16cid:durableId="764420077">
    <w:abstractNumId w:val="6"/>
  </w:num>
  <w:num w:numId="3" w16cid:durableId="1584531715">
    <w:abstractNumId w:val="5"/>
  </w:num>
  <w:num w:numId="4" w16cid:durableId="1435131858">
    <w:abstractNumId w:val="4"/>
  </w:num>
  <w:num w:numId="5" w16cid:durableId="2073846721">
    <w:abstractNumId w:val="7"/>
  </w:num>
  <w:num w:numId="6" w16cid:durableId="258487240">
    <w:abstractNumId w:val="3"/>
  </w:num>
  <w:num w:numId="7" w16cid:durableId="48960284">
    <w:abstractNumId w:val="2"/>
  </w:num>
  <w:num w:numId="8" w16cid:durableId="571618231">
    <w:abstractNumId w:val="1"/>
  </w:num>
  <w:num w:numId="9" w16cid:durableId="89861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0F80"/>
    <w:rsid w:val="00034616"/>
    <w:rsid w:val="0006063C"/>
    <w:rsid w:val="0015074B"/>
    <w:rsid w:val="0029639D"/>
    <w:rsid w:val="00326F90"/>
    <w:rsid w:val="005830F8"/>
    <w:rsid w:val="005A586E"/>
    <w:rsid w:val="00626A4E"/>
    <w:rsid w:val="006A5F2D"/>
    <w:rsid w:val="00AA1D8D"/>
    <w:rsid w:val="00B41958"/>
    <w:rsid w:val="00B47730"/>
    <w:rsid w:val="00CB0664"/>
    <w:rsid w:val="00F7074C"/>
    <w:rsid w:val="00FC693F"/>
    <w:rsid w:val="00FF4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E923D8"/>
  <w14:defaultImageDpi w14:val="300"/>
  <w15:docId w15:val="{22108FD8-27CE-4EFE-AB53-BDE624FCA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dTable5Dark-Accent5">
    <w:name w:val="Grid Table 5 Dark Accent 5"/>
    <w:basedOn w:val="TableNormal"/>
    <w:uiPriority w:val="50"/>
    <w:rsid w:val="00F7074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cuments\NCE%20Solutions\Modelling%20Ecosytem\Distribution%20Densification%20Level%20%20Modelling\Dist%20Project%20Design%20ABCDE%20level%20estimator%20v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ocuments\NCE%20Solutions\Modelling%20Ecosytem\Distribution%20Densification%20Level%20%20Modelling\Dist%20Project%20Design%20ABCDE%20level%20estimator%20v3.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GB"/>
              <a:t>Cost</a:t>
            </a:r>
          </a:p>
        </c:rich>
      </c:tx>
      <c:layout>
        <c:manualLayout>
          <c:xMode val="edge"/>
          <c:yMode val="edge"/>
          <c:x val="0.53041567478483798"/>
          <c:y val="3.4090909090909088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2"/>
          <c:order val="2"/>
          <c:tx>
            <c:strRef>
              <c:f>Output!$D$7</c:f>
              <c:strCache>
                <c:ptCount val="1"/>
                <c:pt idx="0">
                  <c:v>500000</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E00-498D-B5B7-6D3EDE87D17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E00-498D-B5B7-6D3EDE87D17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E00-498D-B5B7-6D3EDE87D17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E00-498D-B5B7-6D3EDE87D179}"/>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EE00-498D-B5B7-6D3EDE87D179}"/>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EE00-498D-B5B7-6D3EDE87D179}"/>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EE00-498D-B5B7-6D3EDE87D179}"/>
              </c:ext>
            </c:extLst>
          </c:dPt>
          <c:dLbls>
            <c:dLbl>
              <c:idx val="0"/>
              <c:layout>
                <c:manualLayout>
                  <c:x val="-0.11570841171280651"/>
                  <c:y val="1.342310904318771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E00-498D-B5B7-6D3EDE87D179}"/>
                </c:ext>
              </c:extLst>
            </c:dLbl>
            <c:dLbl>
              <c:idx val="1"/>
              <c:layout>
                <c:manualLayout>
                  <c:x val="-5.0102267871907233E-2"/>
                  <c:y val="-7.112413505130039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E00-498D-B5B7-6D3EDE87D179}"/>
                </c:ext>
              </c:extLst>
            </c:dLbl>
            <c:dLbl>
              <c:idx val="2"/>
              <c:layout>
                <c:manualLayout>
                  <c:x val="-5.1281539067658879E-2"/>
                  <c:y val="-0.10064364113576726"/>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E00-498D-B5B7-6D3EDE87D179}"/>
                </c:ext>
              </c:extLst>
            </c:dLbl>
            <c:dLbl>
              <c:idx val="3"/>
              <c:layout>
                <c:manualLayout>
                  <c:x val="0.11308751310948709"/>
                  <c:y val="-6.817764256740634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E00-498D-B5B7-6D3EDE87D179}"/>
                </c:ext>
              </c:extLst>
            </c:dLbl>
            <c:dLbl>
              <c:idx val="4"/>
              <c:layout>
                <c:manualLayout>
                  <c:x val="7.5317984829063378E-2"/>
                  <c:y val="8.877475542829867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EE00-498D-B5B7-6D3EDE87D179}"/>
                </c:ext>
              </c:extLst>
            </c:dLbl>
            <c:dLbl>
              <c:idx val="5"/>
              <c:layout>
                <c:manualLayout>
                  <c:x val="5.580263355029879E-2"/>
                  <c:y val="0.12057653304700548"/>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EE00-498D-B5B7-6D3EDE87D179}"/>
                </c:ext>
              </c:extLst>
            </c:dLbl>
            <c:dLbl>
              <c:idx val="6"/>
              <c:layout>
                <c:manualLayout>
                  <c:x val="2.8871834995255561E-2"/>
                  <c:y val="0.13980404438081601"/>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EE00-498D-B5B7-6D3EDE87D179}"/>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Output!$D$8:$D$14</c:f>
              <c:strCache>
                <c:ptCount val="7"/>
                <c:pt idx="0">
                  <c:v>Service Connections </c:v>
                </c:pt>
                <c:pt idx="1">
                  <c:v>Ready Boards</c:v>
                </c:pt>
                <c:pt idx="2">
                  <c:v>Service Connection Lite Poles</c:v>
                </c:pt>
                <c:pt idx="3">
                  <c:v>LV lines - km</c:v>
                </c:pt>
                <c:pt idx="4">
                  <c:v>Transformer Installations</c:v>
                </c:pt>
                <c:pt idx="5">
                  <c:v>MV lines -kilometers</c:v>
                </c:pt>
                <c:pt idx="6">
                  <c:v>Streetlights</c:v>
                </c:pt>
              </c:strCache>
            </c:strRef>
          </c:cat>
          <c:val>
            <c:numRef>
              <c:f>Output!$G$8:$G$14</c:f>
              <c:numCache>
                <c:formatCode>"$"#,##0</c:formatCode>
                <c:ptCount val="7"/>
                <c:pt idx="0">
                  <c:v>75000000</c:v>
                </c:pt>
                <c:pt idx="1">
                  <c:v>7500000</c:v>
                </c:pt>
                <c:pt idx="2">
                  <c:v>12000000</c:v>
                </c:pt>
                <c:pt idx="3">
                  <c:v>62000000</c:v>
                </c:pt>
                <c:pt idx="4">
                  <c:v>18000000</c:v>
                </c:pt>
                <c:pt idx="5">
                  <c:v>20000000</c:v>
                </c:pt>
                <c:pt idx="6">
                  <c:v>10000000</c:v>
                </c:pt>
              </c:numCache>
            </c:numRef>
          </c:val>
          <c:extLst>
            <c:ext xmlns:c16="http://schemas.microsoft.com/office/drawing/2014/chart" uri="{C3380CC4-5D6E-409C-BE32-E72D297353CC}">
              <c16:uniqueId val="{0000000E-EE00-498D-B5B7-6D3EDE87D179}"/>
            </c:ext>
          </c:extLst>
        </c:ser>
        <c:dLbls>
          <c:dLblPos val="ctr"/>
          <c:showLegendKey val="0"/>
          <c:showVal val="0"/>
          <c:showCatName val="0"/>
          <c:showSerName val="0"/>
          <c:showPercent val="1"/>
          <c:showBubbleSize val="0"/>
          <c:showLeaderLines val="1"/>
        </c:dLbls>
        <c:firstSliceAng val="0"/>
        <c:extLst>
          <c:ext xmlns:c15="http://schemas.microsoft.com/office/drawing/2012/chart" uri="{02D57815-91ED-43cb-92C2-25804820EDAC}">
            <c15:filteredPieSeries>
              <c15: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EE00-498D-B5B7-6D3EDE87D17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2-EE00-498D-B5B7-6D3EDE87D17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4-EE00-498D-B5B7-6D3EDE87D17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6-EE00-498D-B5B7-6D3EDE87D179}"/>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8-EE00-498D-B5B7-6D3EDE87D179}"/>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A-EE00-498D-B5B7-6D3EDE87D179}"/>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C-EE00-498D-B5B7-6D3EDE87D17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uri="{CE6537A1-D6FC-4f65-9D91-7224C49458BB}"/>
                  </c:extLst>
                </c:dLbls>
                <c:cat>
                  <c:strRef>
                    <c:extLst>
                      <c:ext uri="{02D57815-91ED-43cb-92C2-25804820EDAC}">
                        <c15:formulaRef>
                          <c15:sqref>Output!$D$8:$D$14</c15:sqref>
                        </c15:formulaRef>
                      </c:ext>
                    </c:extLst>
                    <c:strCache>
                      <c:ptCount val="7"/>
                      <c:pt idx="0">
                        <c:v>Service Connections </c:v>
                      </c:pt>
                      <c:pt idx="1">
                        <c:v>Ready Boards</c:v>
                      </c:pt>
                      <c:pt idx="2">
                        <c:v>Service Connection Lite Poles</c:v>
                      </c:pt>
                      <c:pt idx="3">
                        <c:v>LV lines - km</c:v>
                      </c:pt>
                      <c:pt idx="4">
                        <c:v>Transformer Installations</c:v>
                      </c:pt>
                      <c:pt idx="5">
                        <c:v>MV lines -kilometers</c:v>
                      </c:pt>
                      <c:pt idx="6">
                        <c:v>Streetlights</c:v>
                      </c:pt>
                    </c:strCache>
                  </c:strRef>
                </c:cat>
                <c:val>
                  <c:numRef>
                    <c:extLst>
                      <c:ext uri="{02D57815-91ED-43cb-92C2-25804820EDAC}">
                        <c15:formulaRef>
                          <c15:sqref>Output!$E$8:$E$14</c15:sqref>
                        </c15:formulaRef>
                      </c:ext>
                    </c:extLst>
                    <c:numCache>
                      <c:formatCode>#,##0.00</c:formatCode>
                      <c:ptCount val="7"/>
                      <c:pt idx="0">
                        <c:v>500000</c:v>
                      </c:pt>
                      <c:pt idx="1">
                        <c:v>150000</c:v>
                      </c:pt>
                      <c:pt idx="2">
                        <c:v>100000</c:v>
                      </c:pt>
                      <c:pt idx="3">
                        <c:v>6200</c:v>
                      </c:pt>
                      <c:pt idx="4">
                        <c:v>1500</c:v>
                      </c:pt>
                      <c:pt idx="5">
                        <c:v>800</c:v>
                      </c:pt>
                      <c:pt idx="6">
                        <c:v>125000</c:v>
                      </c:pt>
                    </c:numCache>
                  </c:numRef>
                </c:val>
                <c:extLst>
                  <c:ext xmlns:c16="http://schemas.microsoft.com/office/drawing/2014/chart" uri="{C3380CC4-5D6E-409C-BE32-E72D297353CC}">
                    <c16:uniqueId val="{0000001D-EE00-498D-B5B7-6D3EDE87D179}"/>
                  </c:ext>
                </c:extLst>
              </c15:ser>
            </c15:filteredPieSeries>
            <c15:filteredPieSeries>
              <c15:ser>
                <c:idx val="1"/>
                <c:order val="1"/>
                <c:dPt>
                  <c:idx val="0"/>
                  <c:bubble3D val="0"/>
                  <c:spPr>
                    <a:solidFill>
                      <a:schemeClr val="accent1"/>
                    </a:solidFill>
                    <a:ln>
                      <a:noFill/>
                    </a:ln>
                    <a:effectLst>
                      <a:outerShdw blurRad="254000" sx="102000" sy="102000" algn="ctr" rotWithShape="0">
                        <a:prstClr val="black">
                          <a:alpha val="20000"/>
                        </a:prstClr>
                      </a:outerShdw>
                    </a:effectLst>
                  </c:spPr>
                  <c:extLst xmlns:c15="http://schemas.microsoft.com/office/drawing/2012/chart">
                    <c:ext xmlns:c16="http://schemas.microsoft.com/office/drawing/2014/chart" uri="{C3380CC4-5D6E-409C-BE32-E72D297353CC}">
                      <c16:uniqueId val="{0000001F-EE00-498D-B5B7-6D3EDE87D179}"/>
                    </c:ext>
                  </c:extLst>
                </c:dPt>
                <c:dPt>
                  <c:idx val="1"/>
                  <c:bubble3D val="0"/>
                  <c:spPr>
                    <a:solidFill>
                      <a:schemeClr val="accent2"/>
                    </a:solidFill>
                    <a:ln>
                      <a:noFill/>
                    </a:ln>
                    <a:effectLst>
                      <a:outerShdw blurRad="254000" sx="102000" sy="102000" algn="ctr" rotWithShape="0">
                        <a:prstClr val="black">
                          <a:alpha val="20000"/>
                        </a:prstClr>
                      </a:outerShdw>
                    </a:effectLst>
                  </c:spPr>
                  <c:extLst xmlns:c15="http://schemas.microsoft.com/office/drawing/2012/chart">
                    <c:ext xmlns:c16="http://schemas.microsoft.com/office/drawing/2014/chart" uri="{C3380CC4-5D6E-409C-BE32-E72D297353CC}">
                      <c16:uniqueId val="{00000021-EE00-498D-B5B7-6D3EDE87D179}"/>
                    </c:ext>
                  </c:extLst>
                </c:dPt>
                <c:dPt>
                  <c:idx val="2"/>
                  <c:bubble3D val="0"/>
                  <c:spPr>
                    <a:solidFill>
                      <a:schemeClr val="accent3"/>
                    </a:solidFill>
                    <a:ln>
                      <a:noFill/>
                    </a:ln>
                    <a:effectLst>
                      <a:outerShdw blurRad="254000" sx="102000" sy="102000" algn="ctr" rotWithShape="0">
                        <a:prstClr val="black">
                          <a:alpha val="20000"/>
                        </a:prstClr>
                      </a:outerShdw>
                    </a:effectLst>
                  </c:spPr>
                  <c:extLst xmlns:c15="http://schemas.microsoft.com/office/drawing/2012/chart">
                    <c:ext xmlns:c16="http://schemas.microsoft.com/office/drawing/2014/chart" uri="{C3380CC4-5D6E-409C-BE32-E72D297353CC}">
                      <c16:uniqueId val="{00000023-EE00-498D-B5B7-6D3EDE87D179}"/>
                    </c:ext>
                  </c:extLst>
                </c:dPt>
                <c:dPt>
                  <c:idx val="3"/>
                  <c:bubble3D val="0"/>
                  <c:spPr>
                    <a:solidFill>
                      <a:schemeClr val="accent4"/>
                    </a:solidFill>
                    <a:ln>
                      <a:noFill/>
                    </a:ln>
                    <a:effectLst>
                      <a:outerShdw blurRad="254000" sx="102000" sy="102000" algn="ctr" rotWithShape="0">
                        <a:prstClr val="black">
                          <a:alpha val="20000"/>
                        </a:prstClr>
                      </a:outerShdw>
                    </a:effectLst>
                  </c:spPr>
                  <c:extLst xmlns:c15="http://schemas.microsoft.com/office/drawing/2012/chart">
                    <c:ext xmlns:c16="http://schemas.microsoft.com/office/drawing/2014/chart" uri="{C3380CC4-5D6E-409C-BE32-E72D297353CC}">
                      <c16:uniqueId val="{00000025-EE00-498D-B5B7-6D3EDE87D179}"/>
                    </c:ext>
                  </c:extLst>
                </c:dPt>
                <c:dPt>
                  <c:idx val="4"/>
                  <c:bubble3D val="0"/>
                  <c:spPr>
                    <a:solidFill>
                      <a:schemeClr val="accent5"/>
                    </a:solidFill>
                    <a:ln>
                      <a:noFill/>
                    </a:ln>
                    <a:effectLst>
                      <a:outerShdw blurRad="254000" sx="102000" sy="102000" algn="ctr" rotWithShape="0">
                        <a:prstClr val="black">
                          <a:alpha val="20000"/>
                        </a:prstClr>
                      </a:outerShdw>
                    </a:effectLst>
                  </c:spPr>
                  <c:extLst xmlns:c15="http://schemas.microsoft.com/office/drawing/2012/chart">
                    <c:ext xmlns:c16="http://schemas.microsoft.com/office/drawing/2014/chart" uri="{C3380CC4-5D6E-409C-BE32-E72D297353CC}">
                      <c16:uniqueId val="{00000027-EE00-498D-B5B7-6D3EDE87D179}"/>
                    </c:ext>
                  </c:extLst>
                </c:dPt>
                <c:dPt>
                  <c:idx val="5"/>
                  <c:bubble3D val="0"/>
                  <c:spPr>
                    <a:solidFill>
                      <a:schemeClr val="accent6"/>
                    </a:solidFill>
                    <a:ln>
                      <a:noFill/>
                    </a:ln>
                    <a:effectLst>
                      <a:outerShdw blurRad="254000" sx="102000" sy="102000" algn="ctr" rotWithShape="0">
                        <a:prstClr val="black">
                          <a:alpha val="20000"/>
                        </a:prstClr>
                      </a:outerShdw>
                    </a:effectLst>
                  </c:spPr>
                  <c:extLst xmlns:c15="http://schemas.microsoft.com/office/drawing/2012/chart">
                    <c:ext xmlns:c16="http://schemas.microsoft.com/office/drawing/2014/chart" uri="{C3380CC4-5D6E-409C-BE32-E72D297353CC}">
                      <c16:uniqueId val="{00000029-EE00-498D-B5B7-6D3EDE87D179}"/>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xmlns:c15="http://schemas.microsoft.com/office/drawing/2012/chart">
                    <c:ext xmlns:c16="http://schemas.microsoft.com/office/drawing/2014/chart" uri="{C3380CC4-5D6E-409C-BE32-E72D297353CC}">
                      <c16:uniqueId val="{0000002B-EE00-498D-B5B7-6D3EDE87D17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5="http://schemas.microsoft.com/office/drawing/2012/chart">
                    <c:ext xmlns:c15="http://schemas.microsoft.com/office/drawing/2012/chart" uri="{CE6537A1-D6FC-4f65-9D91-7224C49458BB}"/>
                  </c:extLst>
                </c:dLbls>
                <c:cat>
                  <c:strRef>
                    <c:extLst xmlns:c15="http://schemas.microsoft.com/office/drawing/2012/chart">
                      <c:ext xmlns:c15="http://schemas.microsoft.com/office/drawing/2012/chart" uri="{02D57815-91ED-43cb-92C2-25804820EDAC}">
                        <c15:formulaRef>
                          <c15:sqref>Output!$D$8:$D$14</c15:sqref>
                        </c15:formulaRef>
                      </c:ext>
                    </c:extLst>
                    <c:strCache>
                      <c:ptCount val="7"/>
                      <c:pt idx="0">
                        <c:v>Service Connections </c:v>
                      </c:pt>
                      <c:pt idx="1">
                        <c:v>Ready Boards</c:v>
                      </c:pt>
                      <c:pt idx="2">
                        <c:v>Service Connection Lite Poles</c:v>
                      </c:pt>
                      <c:pt idx="3">
                        <c:v>LV lines - km</c:v>
                      </c:pt>
                      <c:pt idx="4">
                        <c:v>Transformer Installations</c:v>
                      </c:pt>
                      <c:pt idx="5">
                        <c:v>MV lines -kilometers</c:v>
                      </c:pt>
                      <c:pt idx="6">
                        <c:v>Streetlights</c:v>
                      </c:pt>
                    </c:strCache>
                  </c:strRef>
                </c:cat>
                <c:val>
                  <c:numRef>
                    <c:extLst xmlns:c15="http://schemas.microsoft.com/office/drawing/2012/chart">
                      <c:ext xmlns:c15="http://schemas.microsoft.com/office/drawing/2012/chart" uri="{02D57815-91ED-43cb-92C2-25804820EDAC}">
                        <c15:formulaRef>
                          <c15:sqref>Output!$F$8:$F$14</c15:sqref>
                        </c15:formulaRef>
                      </c:ext>
                    </c:extLst>
                    <c:numCache>
                      <c:formatCode>"$"#,##0</c:formatCode>
                      <c:ptCount val="7"/>
                      <c:pt idx="0">
                        <c:v>150</c:v>
                      </c:pt>
                      <c:pt idx="1">
                        <c:v>50</c:v>
                      </c:pt>
                      <c:pt idx="2">
                        <c:v>120</c:v>
                      </c:pt>
                      <c:pt idx="3">
                        <c:v>10000</c:v>
                      </c:pt>
                      <c:pt idx="4">
                        <c:v>12000</c:v>
                      </c:pt>
                      <c:pt idx="5">
                        <c:v>25000</c:v>
                      </c:pt>
                      <c:pt idx="6">
                        <c:v>80</c:v>
                      </c:pt>
                    </c:numCache>
                  </c:numRef>
                </c:val>
                <c:extLst xmlns:c15="http://schemas.microsoft.com/office/drawing/2012/chart">
                  <c:ext xmlns:c16="http://schemas.microsoft.com/office/drawing/2014/chart" uri="{C3380CC4-5D6E-409C-BE32-E72D297353CC}">
                    <c16:uniqueId val="{0000002C-EE00-498D-B5B7-6D3EDE87D179}"/>
                  </c:ext>
                </c:extLst>
              </c15:ser>
            </c15:filteredPieSeries>
          </c:ext>
        </c:extLst>
      </c:pieChart>
      <c:spPr>
        <a:noFill/>
        <a:ln>
          <a:noFill/>
        </a:ln>
        <a:effectLst/>
      </c:spPr>
    </c:plotArea>
    <c:legend>
      <c:legendPos val="r"/>
      <c:layout>
        <c:manualLayout>
          <c:xMode val="edge"/>
          <c:yMode val="edge"/>
          <c:x val="0.64736151110075302"/>
          <c:y val="0.16663356000954427"/>
          <c:w val="0.34136294273997991"/>
          <c:h val="0.6287595442615128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050" b="1"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2"/>
          <c:order val="2"/>
          <c:tx>
            <c:strRef>
              <c:f>Output!$G$19</c:f>
              <c:strCache>
                <c:ptCount val="1"/>
                <c:pt idx="0">
                  <c:v>Acc. Cost per conn</c:v>
                </c:pt>
              </c:strCache>
            </c:strRef>
          </c:tx>
          <c:spPr>
            <a:pattFill prst="narHorz">
              <a:fgClr>
                <a:schemeClr val="accent1">
                  <a:tint val="65000"/>
                </a:schemeClr>
              </a:fgClr>
              <a:bgClr>
                <a:schemeClr val="accent1">
                  <a:tint val="65000"/>
                  <a:lumMod val="20000"/>
                  <a:lumOff val="80000"/>
                </a:schemeClr>
              </a:bgClr>
            </a:pattFill>
            <a:ln>
              <a:noFill/>
            </a:ln>
            <a:effectLst>
              <a:innerShdw blurRad="114300">
                <a:schemeClr val="accent1">
                  <a:tint val="65000"/>
                </a:schemeClr>
              </a:innerShdw>
            </a:effectLst>
          </c:spPr>
          <c:invertIfNegative val="0"/>
          <c:cat>
            <c:strRef>
              <c:f>Output!$D$20:$D$24</c:f>
              <c:strCache>
                <c:ptCount val="5"/>
                <c:pt idx="0">
                  <c:v>A - Sercive Connection plus Ready Board</c:v>
                </c:pt>
                <c:pt idx="1">
                  <c:v>B- A plus Lite Pole </c:v>
                </c:pt>
                <c:pt idx="2">
                  <c:v>C- B-plus LV Line </c:v>
                </c:pt>
                <c:pt idx="3">
                  <c:v>D - C plus Transformer </c:v>
                </c:pt>
                <c:pt idx="4">
                  <c:v>E - D plus MV Line</c:v>
                </c:pt>
              </c:strCache>
            </c:strRef>
          </c:cat>
          <c:val>
            <c:numRef>
              <c:f>Output!$G$20:$G$24</c:f>
              <c:numCache>
                <c:formatCode>"$"#,##0</c:formatCode>
                <c:ptCount val="5"/>
                <c:pt idx="0">
                  <c:v>165</c:v>
                </c:pt>
                <c:pt idx="1">
                  <c:v>195</c:v>
                </c:pt>
                <c:pt idx="2">
                  <c:v>395</c:v>
                </c:pt>
                <c:pt idx="3">
                  <c:v>455</c:v>
                </c:pt>
                <c:pt idx="4">
                  <c:v>555</c:v>
                </c:pt>
              </c:numCache>
            </c:numRef>
          </c:val>
          <c:extLst>
            <c:ext xmlns:c16="http://schemas.microsoft.com/office/drawing/2014/chart" uri="{C3380CC4-5D6E-409C-BE32-E72D297353CC}">
              <c16:uniqueId val="{00000000-6437-4FEB-8224-4D5C756D76F4}"/>
            </c:ext>
          </c:extLst>
        </c:ser>
        <c:dLbls>
          <c:showLegendKey val="0"/>
          <c:showVal val="0"/>
          <c:showCatName val="0"/>
          <c:showSerName val="0"/>
          <c:showPercent val="0"/>
          <c:showBubbleSize val="0"/>
        </c:dLbls>
        <c:gapWidth val="164"/>
        <c:axId val="522320336"/>
        <c:axId val="522320696"/>
        <c:extLst>
          <c:ext xmlns:c15="http://schemas.microsoft.com/office/drawing/2012/chart" uri="{02D57815-91ED-43cb-92C2-25804820EDAC}">
            <c15:filteredBarSeries>
              <c15:ser>
                <c:idx val="0"/>
                <c:order val="0"/>
                <c:tx>
                  <c:strRef>
                    <c:extLst>
                      <c:ext uri="{02D57815-91ED-43cb-92C2-25804820EDAC}">
                        <c15:formulaRef>
                          <c15:sqref>Output!$E$19</c15:sqref>
                        </c15:formulaRef>
                      </c:ext>
                    </c:extLst>
                    <c:strCache>
                      <c:ptCount val="1"/>
                      <c:pt idx="0">
                        <c:v>Percent  of Total</c:v>
                      </c:pt>
                    </c:strCache>
                  </c:strRef>
                </c:tx>
                <c:spPr>
                  <a:pattFill prst="narHorz">
                    <a:fgClr>
                      <a:schemeClr val="accent1">
                        <a:shade val="65000"/>
                      </a:schemeClr>
                    </a:fgClr>
                    <a:bgClr>
                      <a:schemeClr val="accent1">
                        <a:shade val="65000"/>
                        <a:lumMod val="20000"/>
                        <a:lumOff val="80000"/>
                      </a:schemeClr>
                    </a:bgClr>
                  </a:pattFill>
                  <a:ln>
                    <a:noFill/>
                  </a:ln>
                  <a:effectLst>
                    <a:innerShdw blurRad="114300">
                      <a:schemeClr val="accent1">
                        <a:shade val="65000"/>
                      </a:schemeClr>
                    </a:innerShdw>
                  </a:effectLst>
                </c:spPr>
                <c:invertIfNegative val="0"/>
                <c:cat>
                  <c:strRef>
                    <c:extLst>
                      <c:ext uri="{02D57815-91ED-43cb-92C2-25804820EDAC}">
                        <c15:formulaRef>
                          <c15:sqref>Output!$D$20:$D$24</c15:sqref>
                        </c15:formulaRef>
                      </c:ext>
                    </c:extLst>
                    <c:strCache>
                      <c:ptCount val="5"/>
                      <c:pt idx="0">
                        <c:v>A - Sercive Connection plus Ready Board</c:v>
                      </c:pt>
                      <c:pt idx="1">
                        <c:v>B- A plus Lite Pole </c:v>
                      </c:pt>
                      <c:pt idx="2">
                        <c:v>C- B-plus LV Line </c:v>
                      </c:pt>
                      <c:pt idx="3">
                        <c:v>D - C plus Transformer </c:v>
                      </c:pt>
                      <c:pt idx="4">
                        <c:v>E - D plus MV Line</c:v>
                      </c:pt>
                    </c:strCache>
                  </c:strRef>
                </c:cat>
                <c:val>
                  <c:numRef>
                    <c:extLst>
                      <c:ext uri="{02D57815-91ED-43cb-92C2-25804820EDAC}">
                        <c15:formulaRef>
                          <c15:sqref>Output!$E$20:$E$24</c15:sqref>
                        </c15:formulaRef>
                      </c:ext>
                    </c:extLst>
                    <c:numCache>
                      <c:formatCode>0%</c:formatCode>
                      <c:ptCount val="5"/>
                      <c:pt idx="0">
                        <c:v>0.2</c:v>
                      </c:pt>
                      <c:pt idx="1">
                        <c:v>0.1</c:v>
                      </c:pt>
                      <c:pt idx="2">
                        <c:v>0.1</c:v>
                      </c:pt>
                      <c:pt idx="3">
                        <c:v>0.2</c:v>
                      </c:pt>
                      <c:pt idx="4">
                        <c:v>0.4</c:v>
                      </c:pt>
                    </c:numCache>
                  </c:numRef>
                </c:val>
                <c:extLst>
                  <c:ext xmlns:c16="http://schemas.microsoft.com/office/drawing/2014/chart" uri="{C3380CC4-5D6E-409C-BE32-E72D297353CC}">
                    <c16:uniqueId val="{00000001-6437-4FEB-8224-4D5C756D76F4}"/>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Output!$F$19</c15:sqref>
                        </c15:formulaRef>
                      </c:ext>
                    </c:extLst>
                    <c:strCache>
                      <c:ptCount val="1"/>
                      <c:pt idx="0">
                        <c:v>Number</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extLst xmlns:c15="http://schemas.microsoft.com/office/drawing/2012/chart">
                      <c:ext xmlns:c15="http://schemas.microsoft.com/office/drawing/2012/chart" uri="{02D57815-91ED-43cb-92C2-25804820EDAC}">
                        <c15:formulaRef>
                          <c15:sqref>Output!$D$20:$D$24</c15:sqref>
                        </c15:formulaRef>
                      </c:ext>
                    </c:extLst>
                    <c:strCache>
                      <c:ptCount val="5"/>
                      <c:pt idx="0">
                        <c:v>A - Sercive Connection plus Ready Board</c:v>
                      </c:pt>
                      <c:pt idx="1">
                        <c:v>B- A plus Lite Pole </c:v>
                      </c:pt>
                      <c:pt idx="2">
                        <c:v>C- B-plus LV Line </c:v>
                      </c:pt>
                      <c:pt idx="3">
                        <c:v>D - C plus Transformer </c:v>
                      </c:pt>
                      <c:pt idx="4">
                        <c:v>E - D plus MV Line</c:v>
                      </c:pt>
                    </c:strCache>
                  </c:strRef>
                </c:cat>
                <c:val>
                  <c:numRef>
                    <c:extLst xmlns:c15="http://schemas.microsoft.com/office/drawing/2012/chart">
                      <c:ext xmlns:c15="http://schemas.microsoft.com/office/drawing/2012/chart" uri="{02D57815-91ED-43cb-92C2-25804820EDAC}">
                        <c15:formulaRef>
                          <c15:sqref>Output!$F$20:$F$24</c15:sqref>
                        </c15:formulaRef>
                      </c:ext>
                    </c:extLst>
                    <c:numCache>
                      <c:formatCode>General</c:formatCode>
                      <c:ptCount val="5"/>
                      <c:pt idx="0">
                        <c:v>100000</c:v>
                      </c:pt>
                      <c:pt idx="1">
                        <c:v>50000</c:v>
                      </c:pt>
                      <c:pt idx="2">
                        <c:v>50000</c:v>
                      </c:pt>
                      <c:pt idx="3">
                        <c:v>100000</c:v>
                      </c:pt>
                      <c:pt idx="4">
                        <c:v>200000</c:v>
                      </c:pt>
                    </c:numCache>
                  </c:numRef>
                </c:val>
                <c:extLst xmlns:c15="http://schemas.microsoft.com/office/drawing/2012/chart">
                  <c:ext xmlns:c16="http://schemas.microsoft.com/office/drawing/2014/chart" uri="{C3380CC4-5D6E-409C-BE32-E72D297353CC}">
                    <c16:uniqueId val="{00000002-6437-4FEB-8224-4D5C756D76F4}"/>
                  </c:ext>
                </c:extLst>
              </c15:ser>
            </c15:filteredBarSeries>
          </c:ext>
        </c:extLst>
      </c:barChart>
      <c:catAx>
        <c:axId val="522320336"/>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22320696"/>
        <c:crosses val="autoZero"/>
        <c:auto val="1"/>
        <c:lblAlgn val="ctr"/>
        <c:lblOffset val="100"/>
        <c:noMultiLvlLbl val="0"/>
      </c:catAx>
      <c:valAx>
        <c:axId val="522320696"/>
        <c:scaling>
          <c:orientation val="minMax"/>
        </c:scaling>
        <c:delete val="0"/>
        <c:axPos val="l"/>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223203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25400" cap="flat" cmpd="sng" algn="ctr">
      <a:solidFill>
        <a:schemeClr val="accent1">
          <a:lumMod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Jaap du Preez</cp:lastModifiedBy>
  <cp:revision>3</cp:revision>
  <cp:lastPrinted>2026-04-09T16:08:00Z</cp:lastPrinted>
  <dcterms:created xsi:type="dcterms:W3CDTF">2026-04-09T16:10:00Z</dcterms:created>
  <dcterms:modified xsi:type="dcterms:W3CDTF">2026-04-09T16:11:00Z</dcterms:modified>
  <cp:category/>
</cp:coreProperties>
</file>